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numPr>
          <w:ilvl w:val="0"/>
          <w:numId w:val="0"/>
        </w:numPr>
        <w:kinsoku/>
        <w:wordWrap/>
        <w:overflowPunct/>
        <w:topLinePunct w:val="0"/>
        <w:autoSpaceDE/>
        <w:autoSpaceDN/>
        <w:bidi w:val="0"/>
        <w:adjustRightInd/>
        <w:spacing w:before="0" w:beforeLines="0" w:after="0" w:afterLines="0" w:line="480" w:lineRule="auto"/>
        <w:ind w:left="0" w:leftChars="0"/>
        <w:jc w:val="center"/>
        <w:textAlignment w:val="auto"/>
        <w:rPr>
          <w:rFonts w:hint="eastAsia" w:ascii="宋体" w:hAnsi="宋体" w:eastAsia="宋体" w:cs="宋体"/>
          <w:color w:val="auto"/>
          <w:sz w:val="32"/>
          <w:szCs w:val="32"/>
          <w:highlight w:val="none"/>
        </w:rPr>
      </w:pPr>
      <w:bookmarkStart w:id="0" w:name="_Toc27840477"/>
      <w:bookmarkStart w:id="1" w:name="_Toc30476634"/>
      <w:bookmarkStart w:id="2" w:name="_Toc491341156"/>
      <w:r>
        <w:rPr>
          <w:rFonts w:hint="eastAsia" w:ascii="宋体" w:hAnsi="宋体" w:eastAsia="宋体" w:cs="宋体"/>
          <w:color w:val="auto"/>
          <w:sz w:val="32"/>
          <w:szCs w:val="32"/>
          <w:highlight w:val="none"/>
          <w:lang w:val="en-US" w:eastAsia="zh-CN"/>
        </w:rPr>
        <w:t>采购需求书（工程类）</w:t>
      </w:r>
    </w:p>
    <w:bookmarkEnd w:id="0"/>
    <w:bookmarkEnd w:id="1"/>
    <w:bookmarkEnd w:id="2"/>
    <w:p>
      <w:pPr>
        <w:pStyle w:val="10"/>
        <w:keepNext w:val="0"/>
        <w:keepLines w:val="0"/>
        <w:pageBreakBefore w:val="0"/>
        <w:kinsoku/>
        <w:wordWrap/>
        <w:overflowPunct/>
        <w:topLinePunct w:val="0"/>
        <w:autoSpaceDE/>
        <w:autoSpaceDN/>
        <w:bidi w:val="0"/>
        <w:adjustRightInd/>
        <w:snapToGrid w:val="0"/>
        <w:spacing w:line="480" w:lineRule="auto"/>
        <w:ind w:firstLine="506" w:firstLineChars="200"/>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一、项目概况</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highlight w:val="none"/>
          <w:lang w:val="en-US" w:eastAsia="zh-CN"/>
        </w:rPr>
      </w:pPr>
      <w:bookmarkStart w:id="3" w:name="_Toc22460"/>
      <w:bookmarkStart w:id="4" w:name="_Toc32565"/>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广东省广裕集团韶关北江实业有限责任公司五号厂房二楼用电改造项目（第二次）</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预算金额</w:t>
      </w:r>
      <w:r>
        <w:rPr>
          <w:rFonts w:hint="eastAsia" w:ascii="宋体" w:hAnsi="宋体" w:eastAsia="宋体" w:cs="宋体"/>
          <w:color w:val="000000"/>
          <w:sz w:val="24"/>
          <w:szCs w:val="24"/>
          <w:highlight w:val="none"/>
        </w:rPr>
        <w:t>：</w:t>
      </w:r>
      <w:r>
        <w:rPr>
          <w:rFonts w:hint="eastAsia" w:ascii="宋体" w:hAnsi="宋体" w:eastAsia="宋体" w:cs="宋体"/>
          <w:sz w:val="24"/>
          <w:szCs w:val="24"/>
          <w:lang w:val="en-US" w:eastAsia="zh-CN"/>
        </w:rPr>
        <w:t>181429.68</w:t>
      </w:r>
      <w:r>
        <w:rPr>
          <w:rFonts w:hint="eastAsia" w:ascii="宋体" w:hAnsi="宋体" w:eastAsia="宋体" w:cs="宋体"/>
          <w:color w:val="000000"/>
          <w:sz w:val="24"/>
          <w:szCs w:val="24"/>
          <w:highlight w:val="none"/>
        </w:rPr>
        <w:t>元</w:t>
      </w:r>
    </w:p>
    <w:p>
      <w:pPr>
        <w:pageBreakBefore w:val="0"/>
        <w:kinsoku/>
        <w:wordWrap/>
        <w:overflowPunct/>
        <w:topLinePunct w:val="0"/>
        <w:autoSpaceDE/>
        <w:autoSpaceDN/>
        <w:bidi w:val="0"/>
        <w:adjustRightIn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.采购需求：</w:t>
      </w:r>
      <w:bookmarkStart w:id="7" w:name="_GoBack"/>
      <w:bookmarkEnd w:id="7"/>
    </w:p>
    <w:tbl>
      <w:tblPr>
        <w:tblStyle w:val="8"/>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900"/>
        <w:gridCol w:w="1082"/>
        <w:gridCol w:w="3577"/>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87" w:type="dxa"/>
            <w:vAlign w:val="center"/>
          </w:tcPr>
          <w:p>
            <w:pPr>
              <w:pageBreakBefore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900" w:type="dxa"/>
            <w:vAlign w:val="center"/>
          </w:tcPr>
          <w:p>
            <w:pPr>
              <w:pageBreakBefore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采购项目</w:t>
            </w:r>
          </w:p>
        </w:tc>
        <w:tc>
          <w:tcPr>
            <w:tcW w:w="1082" w:type="dxa"/>
            <w:vAlign w:val="center"/>
          </w:tcPr>
          <w:p>
            <w:pPr>
              <w:pageBreakBefore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577" w:type="dxa"/>
            <w:vAlign w:val="center"/>
          </w:tcPr>
          <w:p>
            <w:pPr>
              <w:pageBreakBefore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主要技术规格、参数及要求</w:t>
            </w:r>
          </w:p>
        </w:tc>
        <w:tc>
          <w:tcPr>
            <w:tcW w:w="1551" w:type="dxa"/>
            <w:vAlign w:val="center"/>
          </w:tcPr>
          <w:p>
            <w:pPr>
              <w:pageBreakBefore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施工工期（日历天）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87" w:type="dxa"/>
            <w:vAlign w:val="center"/>
          </w:tcPr>
          <w:p>
            <w:pPr>
              <w:pageBreakBefore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0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广东省广裕集团韶关北江实业有限责任公司五号厂房二楼用电改造项目（第二次）</w:t>
            </w:r>
          </w:p>
        </w:tc>
        <w:tc>
          <w:tcPr>
            <w:tcW w:w="1082" w:type="dxa"/>
            <w:vAlign w:val="center"/>
          </w:tcPr>
          <w:p>
            <w:pPr>
              <w:pageBreakBefore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w:t>
            </w:r>
          </w:p>
        </w:tc>
        <w:tc>
          <w:tcPr>
            <w:tcW w:w="3577" w:type="dxa"/>
            <w:vAlign w:val="center"/>
          </w:tcPr>
          <w:p>
            <w:pPr>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内容及附件工程量清单、施工图纸等</w:t>
            </w:r>
          </w:p>
        </w:tc>
        <w:tc>
          <w:tcPr>
            <w:tcW w:w="1551" w:type="dxa"/>
            <w:vAlign w:val="center"/>
          </w:tcPr>
          <w:p>
            <w:pPr>
              <w:pageBreakBefore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r>
    </w:tbl>
    <w:p>
      <w:pPr>
        <w:keepNext w:val="0"/>
        <w:keepLines w:val="0"/>
        <w:pageBreakBefore w:val="0"/>
        <w:widowControl w:val="0"/>
        <w:kinsoku/>
        <w:wordWrap/>
        <w:overflowPunct/>
        <w:topLinePunct w:val="0"/>
        <w:autoSpaceDE/>
        <w:autoSpaceDN/>
        <w:bidi w:val="0"/>
        <w:adjustRightInd/>
        <w:snapToGrid/>
        <w:spacing w:line="480" w:lineRule="auto"/>
        <w:ind w:left="0" w:leftChars="0" w:right="0"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color w:val="auto"/>
          <w:sz w:val="24"/>
          <w:szCs w:val="24"/>
          <w:highlight w:val="none"/>
          <w:lang w:val="zh-CN"/>
        </w:rPr>
        <w:t>注：</w:t>
      </w:r>
      <w:r>
        <w:rPr>
          <w:rFonts w:hint="eastAsia" w:ascii="宋体" w:hAnsi="宋体" w:eastAsia="宋体" w:cs="宋体"/>
          <w:b/>
          <w:bCs/>
          <w:snapToGrid w:val="0"/>
          <w:color w:val="auto"/>
          <w:kern w:val="0"/>
          <w:sz w:val="24"/>
          <w:szCs w:val="24"/>
          <w:highlight w:val="none"/>
          <w:lang w:eastAsia="zh-CN"/>
        </w:rPr>
        <w:t>本项目</w:t>
      </w:r>
      <w:r>
        <w:rPr>
          <w:rFonts w:hint="eastAsia" w:ascii="宋体" w:hAnsi="宋体" w:eastAsia="宋体" w:cs="宋体"/>
          <w:b/>
          <w:bCs/>
          <w:snapToGrid w:val="0"/>
          <w:color w:val="auto"/>
          <w:kern w:val="0"/>
          <w:sz w:val="24"/>
          <w:szCs w:val="24"/>
          <w:highlight w:val="none"/>
        </w:rPr>
        <w:t>绿色施工安全防护措施费为</w:t>
      </w:r>
      <w:r>
        <w:rPr>
          <w:rFonts w:hint="eastAsia" w:ascii="宋体" w:hAnsi="宋体" w:eastAsia="宋体" w:cs="宋体"/>
          <w:b/>
          <w:bCs/>
          <w:snapToGrid w:val="0"/>
          <w:color w:val="auto"/>
          <w:kern w:val="0"/>
          <w:sz w:val="24"/>
          <w:szCs w:val="24"/>
          <w:highlight w:val="none"/>
          <w:u w:val="single"/>
          <w:lang w:val="en-US" w:eastAsia="zh-CN"/>
        </w:rPr>
        <w:t>4713.14</w:t>
      </w:r>
      <w:r>
        <w:rPr>
          <w:rFonts w:hint="eastAsia" w:ascii="宋体" w:hAnsi="宋体" w:eastAsia="宋体" w:cs="宋体"/>
          <w:b/>
          <w:bCs/>
          <w:snapToGrid w:val="0"/>
          <w:color w:val="auto"/>
          <w:kern w:val="0"/>
          <w:sz w:val="24"/>
          <w:szCs w:val="24"/>
          <w:highlight w:val="none"/>
        </w:rPr>
        <w:t>元，</w:t>
      </w:r>
      <w:r>
        <w:rPr>
          <w:rFonts w:hint="eastAsia" w:ascii="宋体" w:hAnsi="宋体" w:eastAsia="宋体" w:cs="宋体"/>
          <w:b/>
          <w:bCs/>
          <w:snapToGrid w:val="0"/>
          <w:color w:val="auto"/>
          <w:kern w:val="0"/>
          <w:sz w:val="24"/>
          <w:szCs w:val="24"/>
          <w:highlight w:val="none"/>
          <w:lang w:val="en-US" w:eastAsia="zh-CN"/>
        </w:rPr>
        <w:t>暂列金额为</w:t>
      </w:r>
      <w:r>
        <w:rPr>
          <w:rFonts w:hint="eastAsia" w:ascii="宋体" w:hAnsi="宋体" w:eastAsia="宋体" w:cs="宋体"/>
          <w:b/>
          <w:bCs/>
          <w:snapToGrid w:val="0"/>
          <w:color w:val="auto"/>
          <w:kern w:val="0"/>
          <w:sz w:val="24"/>
          <w:szCs w:val="24"/>
          <w:highlight w:val="none"/>
          <w:u w:val="single"/>
          <w:lang w:val="en-US" w:eastAsia="zh-CN"/>
        </w:rPr>
        <w:t>14701.21</w:t>
      </w:r>
      <w:r>
        <w:rPr>
          <w:rFonts w:hint="eastAsia" w:ascii="宋体" w:hAnsi="宋体" w:eastAsia="宋体" w:cs="宋体"/>
          <w:b/>
          <w:bCs/>
          <w:snapToGrid w:val="0"/>
          <w:color w:val="auto"/>
          <w:kern w:val="0"/>
          <w:sz w:val="24"/>
          <w:szCs w:val="24"/>
          <w:highlight w:val="none"/>
          <w:lang w:val="en-US" w:eastAsia="zh-CN"/>
        </w:rPr>
        <w:t>元</w:t>
      </w:r>
      <w:r>
        <w:rPr>
          <w:rFonts w:hint="eastAsia" w:ascii="宋体" w:hAnsi="宋体" w:eastAsia="宋体" w:cs="宋体"/>
          <w:b/>
          <w:bCs/>
          <w:snapToGrid w:val="0"/>
          <w:color w:val="auto"/>
          <w:kern w:val="0"/>
          <w:sz w:val="24"/>
          <w:szCs w:val="24"/>
          <w:highlight w:val="none"/>
        </w:rPr>
        <w:t>。</w:t>
      </w:r>
    </w:p>
    <w:p>
      <w:pPr>
        <w:keepNext w:val="0"/>
        <w:keepLines w:val="0"/>
        <w:pageBreakBefore w:val="0"/>
        <w:kinsoku/>
        <w:wordWrap/>
        <w:overflowPunct/>
        <w:topLinePunct w:val="0"/>
        <w:autoSpaceDE/>
        <w:autoSpaceDN/>
        <w:bidi w:val="0"/>
        <w:adjustRightInd/>
        <w:spacing w:line="480" w:lineRule="auto"/>
        <w:ind w:left="0" w:right="0" w:firstLine="482" w:firstLineChars="200"/>
        <w:jc w:val="left"/>
        <w:textAlignment w:val="auto"/>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1</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供应商</w:t>
      </w:r>
      <w:r>
        <w:rPr>
          <w:rFonts w:hint="eastAsia" w:ascii="宋体" w:hAnsi="宋体" w:eastAsia="宋体" w:cs="宋体"/>
          <w:b/>
          <w:bCs/>
          <w:snapToGrid w:val="0"/>
          <w:color w:val="auto"/>
          <w:kern w:val="0"/>
          <w:sz w:val="24"/>
          <w:szCs w:val="24"/>
          <w:highlight w:val="none"/>
        </w:rPr>
        <w:t>的绿色施工安全防护措施费报价必须达到或超过招标工程量清单中提供的绿色施工安全防护措施费</w:t>
      </w:r>
      <w:r>
        <w:rPr>
          <w:rFonts w:hint="eastAsia" w:ascii="宋体" w:hAnsi="宋体" w:eastAsia="宋体" w:cs="宋体"/>
          <w:b/>
          <w:bCs/>
          <w:snapToGrid w:val="0"/>
          <w:color w:val="auto"/>
          <w:kern w:val="0"/>
          <w:sz w:val="24"/>
          <w:szCs w:val="24"/>
          <w:highlight w:val="none"/>
          <w:lang w:eastAsia="zh-CN"/>
        </w:rPr>
        <w:t>；</w:t>
      </w:r>
    </w:p>
    <w:p>
      <w:pPr>
        <w:keepNext w:val="0"/>
        <w:keepLines w:val="0"/>
        <w:pageBreakBefore w:val="0"/>
        <w:kinsoku/>
        <w:wordWrap/>
        <w:overflowPunct/>
        <w:topLinePunct w:val="0"/>
        <w:autoSpaceDE/>
        <w:autoSpaceDN/>
        <w:bidi w:val="0"/>
        <w:adjustRightInd/>
        <w:spacing w:line="480" w:lineRule="auto"/>
        <w:ind w:left="0" w:right="0" w:firstLine="482" w:firstLineChars="20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2</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供应商</w:t>
      </w:r>
      <w:r>
        <w:rPr>
          <w:rFonts w:hint="eastAsia" w:ascii="宋体" w:hAnsi="宋体" w:eastAsia="宋体" w:cs="宋体"/>
          <w:b/>
          <w:bCs/>
          <w:snapToGrid w:val="0"/>
          <w:color w:val="auto"/>
          <w:kern w:val="0"/>
          <w:sz w:val="24"/>
          <w:szCs w:val="24"/>
          <w:highlight w:val="none"/>
        </w:rPr>
        <w:t>必须按照招标工程量清单中提供的暂列金额和暂估价统一报价。</w:t>
      </w:r>
      <w:r>
        <w:rPr>
          <w:rFonts w:hint="eastAsia" w:ascii="宋体" w:hAnsi="宋体" w:eastAsia="宋体" w:cs="宋体"/>
          <w:b/>
          <w:bCs/>
          <w:snapToGrid w:val="0"/>
          <w:color w:val="auto"/>
          <w:kern w:val="0"/>
          <w:sz w:val="24"/>
          <w:szCs w:val="24"/>
          <w:highlight w:val="none"/>
          <w:lang w:val="en-US" w:eastAsia="zh-CN"/>
        </w:rPr>
        <w:t>供应商</w:t>
      </w:r>
      <w:r>
        <w:rPr>
          <w:rFonts w:hint="eastAsia" w:ascii="宋体" w:hAnsi="宋体" w:eastAsia="宋体" w:cs="宋体"/>
          <w:b/>
          <w:bCs/>
          <w:snapToGrid w:val="0"/>
          <w:color w:val="auto"/>
          <w:kern w:val="0"/>
          <w:sz w:val="24"/>
          <w:szCs w:val="24"/>
          <w:highlight w:val="none"/>
        </w:rPr>
        <w:t>应充分考虑暂估价项目（</w:t>
      </w:r>
      <w:r>
        <w:rPr>
          <w:rFonts w:hint="eastAsia" w:ascii="宋体" w:hAnsi="宋体" w:eastAsia="宋体" w:cs="宋体"/>
          <w:b/>
          <w:bCs/>
          <w:snapToGrid w:val="0"/>
          <w:color w:val="auto"/>
          <w:kern w:val="0"/>
          <w:sz w:val="24"/>
          <w:szCs w:val="24"/>
          <w:highlight w:val="none"/>
          <w:lang w:eastAsia="zh-CN"/>
        </w:rPr>
        <w:t>及</w:t>
      </w:r>
      <w:r>
        <w:rPr>
          <w:rFonts w:hint="eastAsia" w:ascii="宋体" w:hAnsi="宋体" w:eastAsia="宋体" w:cs="宋体"/>
          <w:b/>
          <w:bCs/>
          <w:snapToGrid w:val="0"/>
          <w:color w:val="auto"/>
          <w:kern w:val="0"/>
          <w:sz w:val="24"/>
          <w:szCs w:val="24"/>
          <w:highlight w:val="none"/>
        </w:rPr>
        <w:t>暂列金额项目）的管理和协调所发生的费用，并将其纳入已标价工程量清单中的适当项目。</w:t>
      </w:r>
      <w:r>
        <w:rPr>
          <w:rFonts w:hint="eastAsia" w:ascii="宋体" w:hAnsi="宋体" w:eastAsia="宋体" w:cs="宋体"/>
          <w:b/>
          <w:bCs/>
          <w:snapToGrid w:val="0"/>
          <w:color w:val="auto"/>
          <w:kern w:val="0"/>
          <w:sz w:val="24"/>
          <w:szCs w:val="24"/>
          <w:highlight w:val="none"/>
          <w:lang w:val="en-US" w:eastAsia="zh-CN"/>
        </w:rPr>
        <w:t>采购</w:t>
      </w:r>
      <w:r>
        <w:rPr>
          <w:rFonts w:hint="eastAsia" w:ascii="宋体" w:hAnsi="宋体" w:eastAsia="宋体" w:cs="宋体"/>
          <w:b/>
          <w:bCs/>
          <w:snapToGrid w:val="0"/>
          <w:color w:val="auto"/>
          <w:kern w:val="0"/>
          <w:sz w:val="24"/>
          <w:szCs w:val="24"/>
          <w:highlight w:val="none"/>
        </w:rPr>
        <w:t>人视该项管理和协调所发生的费用已包含在其它有价款的竞争性报价内，不再另行支付</w:t>
      </w:r>
      <w:r>
        <w:rPr>
          <w:rFonts w:hint="eastAsia" w:ascii="宋体" w:hAnsi="宋体" w:eastAsia="宋体" w:cs="宋体"/>
          <w:b/>
          <w:bCs/>
          <w:snapToGrid w:val="0"/>
          <w:color w:val="auto"/>
          <w:kern w:val="0"/>
          <w:sz w:val="24"/>
          <w:szCs w:val="24"/>
          <w:highlight w:val="none"/>
          <w:lang w:eastAsia="zh-CN"/>
        </w:rPr>
        <w:t>；</w:t>
      </w:r>
    </w:p>
    <w:p>
      <w:pPr>
        <w:keepNext w:val="0"/>
        <w:keepLines w:val="0"/>
        <w:pageBreakBefore w:val="0"/>
        <w:kinsoku/>
        <w:wordWrap/>
        <w:overflowPunct/>
        <w:topLinePunct w:val="0"/>
        <w:autoSpaceDE/>
        <w:autoSpaceDN/>
        <w:bidi w:val="0"/>
        <w:adjustRightInd/>
        <w:spacing w:line="480" w:lineRule="auto"/>
        <w:ind w:left="0" w:right="0"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（3）若供应商未按上述要求报价，</w:t>
      </w:r>
      <w:r>
        <w:rPr>
          <w:rFonts w:hint="eastAsia" w:ascii="宋体" w:hAnsi="宋体" w:eastAsia="宋体" w:cs="宋体"/>
          <w:b/>
          <w:bCs/>
          <w:snapToGrid w:val="0"/>
          <w:color w:val="auto"/>
          <w:kern w:val="0"/>
          <w:sz w:val="24"/>
          <w:szCs w:val="24"/>
          <w:highlight w:val="none"/>
        </w:rPr>
        <w:t>其</w:t>
      </w:r>
      <w:r>
        <w:rPr>
          <w:rFonts w:hint="eastAsia" w:ascii="宋体" w:hAnsi="宋体" w:eastAsia="宋体" w:cs="宋体"/>
          <w:b/>
          <w:bCs/>
          <w:snapToGrid w:val="0"/>
          <w:color w:val="auto"/>
          <w:kern w:val="0"/>
          <w:sz w:val="24"/>
          <w:szCs w:val="24"/>
          <w:highlight w:val="none"/>
          <w:lang w:val="en-US" w:eastAsia="zh-CN"/>
        </w:rPr>
        <w:t>响应文件做无效响应处理；</w:t>
      </w:r>
    </w:p>
    <w:p>
      <w:pPr>
        <w:keepNext w:val="0"/>
        <w:keepLines w:val="0"/>
        <w:pageBreakBefore w:val="0"/>
        <w:kinsoku/>
        <w:wordWrap/>
        <w:overflowPunct/>
        <w:topLinePunct w:val="0"/>
        <w:autoSpaceDE/>
        <w:autoSpaceDN/>
        <w:bidi w:val="0"/>
        <w:adjustRightInd/>
        <w:spacing w:line="480" w:lineRule="auto"/>
        <w:ind w:left="0" w:right="0" w:firstLine="482" w:firstLineChars="200"/>
        <w:jc w:val="left"/>
        <w:textAlignment w:val="auto"/>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en-US" w:eastAsia="zh-CN"/>
        </w:rPr>
        <w:t>（4）响应</w:t>
      </w:r>
      <w:r>
        <w:rPr>
          <w:rFonts w:hint="eastAsia" w:ascii="宋体" w:hAnsi="宋体" w:eastAsia="宋体" w:cs="宋体"/>
          <w:b/>
          <w:bCs/>
          <w:snapToGrid w:val="0"/>
          <w:color w:val="auto"/>
          <w:kern w:val="0"/>
          <w:sz w:val="24"/>
          <w:szCs w:val="24"/>
          <w:highlight w:val="none"/>
          <w:lang w:val="zh-CN"/>
        </w:rPr>
        <w:t>报价超出预算金额的列为无效响应处理；</w:t>
      </w:r>
    </w:p>
    <w:p>
      <w:pPr>
        <w:keepNext w:val="0"/>
        <w:keepLines w:val="0"/>
        <w:pageBreakBefore w:val="0"/>
        <w:kinsoku/>
        <w:wordWrap/>
        <w:overflowPunct/>
        <w:topLinePunct w:val="0"/>
        <w:autoSpaceDE/>
        <w:autoSpaceDN/>
        <w:bidi w:val="0"/>
        <w:adjustRightInd/>
        <w:spacing w:line="480" w:lineRule="auto"/>
        <w:ind w:left="0" w:right="0" w:firstLine="482" w:firstLineChars="200"/>
        <w:jc w:val="left"/>
        <w:textAlignment w:val="auto"/>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en-US" w:eastAsia="zh-CN"/>
        </w:rPr>
        <w:t>（5）供应商</w:t>
      </w:r>
      <w:r>
        <w:rPr>
          <w:rFonts w:hint="eastAsia" w:ascii="宋体" w:hAnsi="宋体" w:eastAsia="宋体" w:cs="宋体"/>
          <w:b/>
          <w:bCs/>
          <w:snapToGrid w:val="0"/>
          <w:color w:val="auto"/>
          <w:kern w:val="0"/>
          <w:sz w:val="24"/>
          <w:szCs w:val="24"/>
          <w:highlight w:val="none"/>
          <w:lang w:val="zh-CN"/>
        </w:rPr>
        <w:t>必须对本项目的</w:t>
      </w:r>
      <w:r>
        <w:rPr>
          <w:rFonts w:hint="eastAsia" w:ascii="宋体" w:hAnsi="宋体" w:eastAsia="宋体" w:cs="宋体"/>
          <w:b/>
          <w:bCs/>
          <w:snapToGrid w:val="0"/>
          <w:color w:val="auto"/>
          <w:kern w:val="0"/>
          <w:sz w:val="24"/>
          <w:szCs w:val="24"/>
          <w:highlight w:val="none"/>
          <w:lang w:val="en-US" w:eastAsia="zh-CN"/>
        </w:rPr>
        <w:t>工程量</w:t>
      </w:r>
      <w:r>
        <w:rPr>
          <w:rFonts w:hint="eastAsia" w:ascii="宋体" w:hAnsi="宋体" w:eastAsia="宋体" w:cs="宋体"/>
          <w:b/>
          <w:bCs/>
          <w:snapToGrid w:val="0"/>
          <w:color w:val="auto"/>
          <w:kern w:val="0"/>
          <w:sz w:val="24"/>
          <w:szCs w:val="24"/>
          <w:highlight w:val="none"/>
          <w:lang w:val="zh-CN"/>
        </w:rPr>
        <w:t>清单全部内容进行报价，如有缺漏，将导致响应无效；</w:t>
      </w:r>
    </w:p>
    <w:p>
      <w:pPr>
        <w:keepNext w:val="0"/>
        <w:keepLines w:val="0"/>
        <w:pageBreakBefore w:val="0"/>
        <w:kinsoku/>
        <w:wordWrap/>
        <w:overflowPunct/>
        <w:topLinePunct w:val="0"/>
        <w:autoSpaceDE/>
        <w:autoSpaceDN/>
        <w:bidi w:val="0"/>
        <w:adjustRightInd/>
        <w:spacing w:line="480" w:lineRule="auto"/>
        <w:ind w:left="0" w:right="0" w:firstLine="482" w:firstLineChars="200"/>
        <w:jc w:val="left"/>
        <w:textAlignment w:val="auto"/>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val="en-US" w:eastAsia="zh-CN"/>
        </w:rPr>
        <w:t>（6）响应</w:t>
      </w:r>
      <w:r>
        <w:rPr>
          <w:rFonts w:hint="eastAsia" w:ascii="宋体" w:hAnsi="宋体" w:eastAsia="宋体" w:cs="宋体"/>
          <w:b/>
          <w:bCs/>
          <w:snapToGrid w:val="0"/>
          <w:color w:val="auto"/>
          <w:kern w:val="0"/>
          <w:sz w:val="24"/>
          <w:szCs w:val="24"/>
          <w:highlight w:val="none"/>
        </w:rPr>
        <w:t>报价应为人民币含税全包价，包括工程量清单项目所发生的人工费、材料费、机械费、管理费、项目措施费以及施工合同包含的所有风险、责任等各项应有费用</w:t>
      </w:r>
      <w:r>
        <w:rPr>
          <w:rFonts w:hint="eastAsia" w:ascii="宋体" w:hAnsi="宋体" w:eastAsia="宋体" w:cs="宋体"/>
          <w:b/>
          <w:bCs/>
          <w:snapToGrid w:val="0"/>
          <w:color w:val="auto"/>
          <w:kern w:val="0"/>
          <w:sz w:val="24"/>
          <w:szCs w:val="24"/>
          <w:highlight w:val="none"/>
          <w:lang w:eastAsia="zh-CN"/>
        </w:rPr>
        <w:t>。</w:t>
      </w:r>
    </w:p>
    <w:p>
      <w:pPr>
        <w:keepNext w:val="0"/>
        <w:keepLines w:val="0"/>
        <w:pageBreakBefore w:val="0"/>
        <w:kinsoku/>
        <w:wordWrap/>
        <w:overflowPunct/>
        <w:topLinePunct w:val="0"/>
        <w:autoSpaceDE/>
        <w:autoSpaceDN/>
        <w:bidi w:val="0"/>
        <w:adjustRightInd/>
        <w:spacing w:line="480" w:lineRule="auto"/>
        <w:ind w:left="0" w:right="0" w:firstLine="482" w:firstLineChars="200"/>
        <w:jc w:val="left"/>
        <w:textAlignment w:val="auto"/>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lang w:val="zh-CN" w:eastAsia="zh-CN"/>
        </w:rPr>
        <w:t>本项目不接受联合体响应。</w:t>
      </w:r>
    </w:p>
    <w:p>
      <w:pPr>
        <w:keepNext w:val="0"/>
        <w:keepLines w:val="0"/>
        <w:pageBreakBefore w:val="0"/>
        <w:kinsoku/>
        <w:wordWrap/>
        <w:overflowPunct/>
        <w:topLinePunct w:val="0"/>
        <w:autoSpaceDE/>
        <w:autoSpaceDN/>
        <w:bidi w:val="0"/>
        <w:adjustRightInd/>
        <w:spacing w:line="480" w:lineRule="auto"/>
        <w:ind w:left="0" w:right="0"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二、供应商资质</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（一）具有独立承担民事责任的能力；</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（二）具有良好的商业信誉和健全的财务会计制度；</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（三）具有履行合同所必需的设备和专业技术能力；</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（四）有依法缴纳税收和社会保障资金的良好记录；</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（五）参加本采购活动前三年内，在经营活动中没有重大违法记录；</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（六）法律、行政法规规定的其他条件。</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（七）其他资质要求：</w:t>
      </w:r>
    </w:p>
    <w:bookmarkEnd w:id="3"/>
    <w:bookmarkEnd w:id="4"/>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hr-HR" w:eastAsia="zh-CN"/>
        </w:rPr>
        <w:t>供应商须</w:t>
      </w:r>
      <w:r>
        <w:rPr>
          <w:rFonts w:hint="eastAsia" w:ascii="宋体" w:hAnsi="宋体" w:eastAsia="宋体" w:cs="宋体"/>
          <w:sz w:val="24"/>
          <w:szCs w:val="24"/>
          <w:highlight w:val="none"/>
          <w:lang w:val="en-US" w:eastAsia="zh-CN"/>
        </w:rPr>
        <w:t>同时</w:t>
      </w:r>
      <w:r>
        <w:rPr>
          <w:rFonts w:hint="eastAsia" w:ascii="宋体" w:hAnsi="宋体" w:eastAsia="宋体" w:cs="宋体"/>
          <w:sz w:val="24"/>
          <w:szCs w:val="24"/>
          <w:highlight w:val="none"/>
          <w:lang w:val="hr-HR" w:eastAsia="zh-CN"/>
        </w:rPr>
        <w:t>具备</w:t>
      </w:r>
      <w:r>
        <w:rPr>
          <w:rFonts w:hint="eastAsia" w:ascii="宋体" w:hAnsi="宋体" w:eastAsia="宋体" w:cs="宋体"/>
          <w:sz w:val="24"/>
          <w:szCs w:val="24"/>
          <w:highlight w:val="none"/>
          <w:lang w:val="en-US" w:eastAsia="zh-CN"/>
        </w:rPr>
        <w:t>①建设行政主管部门颁发的有效期内的电力工程施工总承包三级或以上资质，或输变电工程专业承包三级（乙级）或以上资质（注：新证分甲乙级，旧证分一二三级），或建筑机电安装工程专业承包三级或以上资质；②行政主管部门颁发的《承装（修、试）电力设施许可证》承装、承试类</w:t>
      </w:r>
      <w:r>
        <w:rPr>
          <w:rFonts w:hint="eastAsia" w:ascii="宋体" w:hAnsi="宋体" w:cs="宋体"/>
          <w:sz w:val="24"/>
          <w:szCs w:val="24"/>
          <w:highlight w:val="none"/>
          <w:lang w:val="en-US" w:eastAsia="zh-CN"/>
        </w:rPr>
        <w:t>五</w:t>
      </w:r>
      <w:r>
        <w:rPr>
          <w:rFonts w:hint="eastAsia" w:ascii="宋体" w:hAnsi="宋体" w:eastAsia="宋体" w:cs="宋体"/>
          <w:sz w:val="24"/>
          <w:szCs w:val="24"/>
          <w:highlight w:val="none"/>
          <w:lang w:val="en-US" w:eastAsia="zh-CN"/>
        </w:rPr>
        <w:t>级（含）以上资质。③具备建设行政主管部门颁发的有效的《安全生产许可证》且不存在被暂扣或吊销等情形。</w:t>
      </w:r>
    </w:p>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三、采购项目技术要求</w:t>
      </w:r>
    </w:p>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highlight w:val="none"/>
          <w:lang w:val="en-US" w:eastAsia="zh-CN"/>
        </w:rPr>
      </w:pPr>
      <w:bookmarkStart w:id="5" w:name="_Hlk90480378"/>
      <w:r>
        <w:rPr>
          <w:rFonts w:hint="eastAsia" w:ascii="宋体" w:hAnsi="宋体" w:eastAsia="宋体" w:cs="宋体"/>
          <w:b/>
          <w:bCs/>
          <w:sz w:val="24"/>
          <w:szCs w:val="24"/>
          <w:highlight w:val="none"/>
          <w:lang w:val="en-US" w:eastAsia="zh-CN"/>
        </w:rPr>
        <w:t>（一）工程量清单</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具体详见广东省广裕集团韶关北江实业有限责任公司五号厂房二楼用电改造项目工程量清单。</w:t>
      </w:r>
    </w:p>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（二）工程范围</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具体详见图纸及工程量清单。</w:t>
      </w:r>
    </w:p>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（三）工程内容</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1、质量要求：</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（1）成交供应商必须严格按照本项目设计图纸施工。</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（2）本工程所有的设备和材料所涉及的设计标准、规范，产品标准、规范，工程标准、规范，验收标准、规范等必须完全符合中华人民共和国及省、市相应的标准和规格。</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2、安全文明施工要求：</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（1）在施工期间应严格遵守国家、省、市有关防火、爆破和施工安全以及文明施工、环卫和城管等规定，建立规章制度和防护措施。否则，由此造成的经济和法律责任均由成交供应商负责。</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（2）成交供应商应按安全施工的要求，采取严格科学的安全措施，做好从进场施工开始到验收结束交付工程前的安全施工预防措施，并制定相应的应急预案，确保施工安全和第三者的安全。</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（3）成交供应商必须严格按照已经确认的施工方案组织施工，并接受采购人对工程质量、工期、安全、文明施工，环保及工地纪律的监督和管理。</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（4）成交供应商应在采购人确定施工条件已具备后</w:t>
      </w:r>
      <w:r>
        <w:rPr>
          <w:rFonts w:hint="eastAsia" w:ascii="宋体" w:hAnsi="宋体" w:eastAsia="宋体" w:cs="宋体"/>
          <w:b w:val="0"/>
          <w:bCs w:val="0"/>
          <w:color w:val="auto"/>
          <w:sz w:val="24"/>
          <w:szCs w:val="24"/>
          <w:highlight w:val="none"/>
          <w:u w:val="single"/>
          <w:lang w:val="en-US" w:eastAsia="zh-CN"/>
        </w:rPr>
        <w:t>2</w:t>
      </w:r>
      <w:r>
        <w:rPr>
          <w:rFonts w:hint="eastAsia" w:ascii="宋体" w:hAnsi="宋体" w:eastAsia="宋体" w:cs="宋体"/>
          <w:b w:val="0"/>
          <w:bCs w:val="0"/>
          <w:color w:val="auto"/>
          <w:sz w:val="24"/>
          <w:szCs w:val="24"/>
          <w:highlight w:val="none"/>
          <w:lang w:val="en-US" w:eastAsia="zh-CN"/>
        </w:rPr>
        <w:t>天内与采购人确定开始施工日期。</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施工所用的机械工具由成交供应商自备及自费运到施工工地，经采购人审批后进场，进行必要的性能安全检查，完工后从工地自费搬出运走，施工所用的材料及机械工具由采购人提供恰当的场所存放并由施工队伍自行保管，不得随便存放，以免造成不必要的丢失、损坏。</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（6）成交供应商在工程施工期间，必须配备专职安全员，建立健全安全制度。</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（7）成交供应商在施工期间，必须建立施工安全用电制度，确保施工用电设备的完好无损，并设置漏电保护装置。</w:t>
      </w:r>
    </w:p>
    <w:p>
      <w:pPr>
        <w:keepNext w:val="0"/>
        <w:keepLines w:val="0"/>
        <w:pageBreakBefore w:val="0"/>
        <w:numPr>
          <w:ilvl w:val="0"/>
          <w:numId w:val="0"/>
        </w:numPr>
        <w:kinsoku/>
        <w:wordWrap/>
        <w:overflowPunct/>
        <w:topLinePunct w:val="0"/>
        <w:autoSpaceDE/>
        <w:autoSpaceDN/>
        <w:bidi w:val="0"/>
        <w:adjustRightInd/>
        <w:spacing w:line="480" w:lineRule="auto"/>
        <w:ind w:left="0" w:righ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总包及分包规定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本项目不接受联合体</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strike w:val="0"/>
          <w:dstrike w:val="0"/>
          <w:color w:val="auto"/>
          <w:sz w:val="24"/>
          <w:szCs w:val="24"/>
          <w:highlight w:val="none"/>
        </w:rPr>
        <w:t>，不允许对项目专业分包及劳务分包</w:t>
      </w:r>
      <w:r>
        <w:rPr>
          <w:rFonts w:hint="eastAsia" w:ascii="宋体" w:hAnsi="宋体" w:eastAsia="宋体" w:cs="宋体"/>
          <w:b w:val="0"/>
          <w:bCs w:val="0"/>
          <w:strike w:val="0"/>
          <w:color w:val="auto"/>
          <w:sz w:val="24"/>
          <w:szCs w:val="24"/>
          <w:highlight w:val="none"/>
        </w:rPr>
        <w:t>。</w:t>
      </w:r>
    </w:p>
    <w:p>
      <w:pPr>
        <w:pStyle w:val="4"/>
        <w:keepNext w:val="0"/>
        <w:keepLines w:val="0"/>
        <w:pageBreakBefore w:val="0"/>
        <w:kinsoku/>
        <w:wordWrap/>
        <w:overflowPunct/>
        <w:topLinePunct w:val="0"/>
        <w:autoSpaceDE/>
        <w:autoSpaceDN/>
        <w:bidi w:val="0"/>
        <w:adjustRightInd/>
        <w:spacing w:line="480" w:lineRule="auto"/>
        <w:ind w:left="0" w:righ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4、工程结算原则</w:t>
      </w:r>
      <w:r>
        <w:rPr>
          <w:rFonts w:hint="eastAsia" w:ascii="宋体" w:hAnsi="宋体" w:eastAsia="宋体" w:cs="宋体"/>
          <w:b w:val="0"/>
          <w:bCs w:val="0"/>
          <w:color w:val="auto"/>
          <w:sz w:val="24"/>
          <w:szCs w:val="24"/>
          <w:highlight w:val="none"/>
          <w:lang w:eastAsia="zh-CN"/>
        </w:rPr>
        <w:t>：</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zh-TW" w:eastAsia="zh-CN"/>
        </w:rPr>
      </w:pPr>
      <w:r>
        <w:rPr>
          <w:rFonts w:hint="eastAsia" w:ascii="宋体" w:hAnsi="宋体" w:eastAsia="宋体" w:cs="宋体"/>
          <w:b w:val="0"/>
          <w:bCs w:val="0"/>
          <w:color w:val="auto"/>
          <w:sz w:val="24"/>
          <w:szCs w:val="24"/>
          <w:highlight w:val="none"/>
          <w:lang w:val="en-US" w:eastAsia="zh-CN"/>
        </w:rPr>
        <w:t>（1）成交供应商最终</w:t>
      </w:r>
      <w:r>
        <w:rPr>
          <w:rFonts w:hint="eastAsia" w:ascii="宋体" w:hAnsi="宋体" w:eastAsia="宋体" w:cs="宋体"/>
          <w:b w:val="0"/>
          <w:bCs w:val="0"/>
          <w:color w:val="auto"/>
          <w:sz w:val="24"/>
          <w:szCs w:val="24"/>
          <w:highlight w:val="none"/>
          <w:lang w:val="zh-TW" w:eastAsia="zh-CN"/>
        </w:rPr>
        <w:t>的</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zh-TW" w:eastAsia="zh-CN"/>
        </w:rPr>
        <w:t>报价为</w:t>
      </w:r>
      <w:r>
        <w:rPr>
          <w:rFonts w:hint="eastAsia" w:ascii="宋体" w:hAnsi="宋体" w:eastAsia="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zh-TW" w:eastAsia="zh-CN"/>
        </w:rPr>
        <w:t>价，即为签约合同价。</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zh-TW"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TW" w:eastAsia="zh-CN"/>
        </w:rPr>
        <w:t>工程量按实结算。</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（3）响应</w:t>
      </w:r>
      <w:r>
        <w:rPr>
          <w:rFonts w:hint="eastAsia" w:ascii="宋体" w:hAnsi="宋体" w:eastAsia="宋体" w:cs="宋体"/>
          <w:b w:val="0"/>
          <w:bCs w:val="0"/>
          <w:color w:val="auto"/>
          <w:sz w:val="24"/>
          <w:szCs w:val="24"/>
          <w:highlight w:val="none"/>
          <w:lang w:val="zh-TW" w:eastAsia="zh-CN"/>
        </w:rPr>
        <w:t>文件报价</w:t>
      </w:r>
      <w:r>
        <w:rPr>
          <w:rFonts w:hint="eastAsia" w:ascii="宋体" w:hAnsi="宋体" w:eastAsia="宋体" w:cs="宋体"/>
          <w:b w:val="0"/>
          <w:bCs w:val="0"/>
          <w:color w:val="auto"/>
          <w:sz w:val="24"/>
          <w:szCs w:val="24"/>
          <w:highlight w:val="none"/>
          <w:lang w:val="en-US" w:eastAsia="zh-CN"/>
        </w:rPr>
        <w:t>清单</w:t>
      </w:r>
      <w:r>
        <w:rPr>
          <w:rFonts w:hint="eastAsia" w:ascii="宋体" w:hAnsi="宋体" w:eastAsia="宋体" w:cs="宋体"/>
          <w:b w:val="0"/>
          <w:bCs w:val="0"/>
          <w:color w:val="auto"/>
          <w:sz w:val="24"/>
          <w:szCs w:val="24"/>
          <w:highlight w:val="none"/>
          <w:lang w:val="zh-TW" w:eastAsia="zh-CN"/>
        </w:rPr>
        <w:t>中有的各子目单价，按照</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zh-TW" w:eastAsia="zh-CN"/>
        </w:rPr>
        <w:t>文件报价</w:t>
      </w:r>
      <w:r>
        <w:rPr>
          <w:rFonts w:hint="eastAsia" w:ascii="宋体" w:hAnsi="宋体" w:eastAsia="宋体" w:cs="宋体"/>
          <w:b w:val="0"/>
          <w:bCs w:val="0"/>
          <w:color w:val="auto"/>
          <w:sz w:val="24"/>
          <w:szCs w:val="24"/>
          <w:highlight w:val="none"/>
          <w:lang w:val="en-US" w:eastAsia="zh-CN"/>
        </w:rPr>
        <w:t>清单</w:t>
      </w:r>
      <w:r>
        <w:rPr>
          <w:rFonts w:hint="eastAsia" w:ascii="宋体" w:hAnsi="宋体" w:eastAsia="宋体" w:cs="宋体"/>
          <w:b w:val="0"/>
          <w:bCs w:val="0"/>
          <w:color w:val="auto"/>
          <w:sz w:val="24"/>
          <w:szCs w:val="24"/>
          <w:highlight w:val="none"/>
          <w:lang w:val="zh-TW" w:eastAsia="zh-CN"/>
        </w:rPr>
        <w:t>中的子目单价执行；</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zh-TW" w:eastAsia="zh-CN"/>
        </w:rPr>
        <w:t>文件报价</w:t>
      </w:r>
      <w:r>
        <w:rPr>
          <w:rFonts w:hint="eastAsia" w:ascii="宋体" w:hAnsi="宋体" w:eastAsia="宋体" w:cs="宋体"/>
          <w:b w:val="0"/>
          <w:bCs w:val="0"/>
          <w:color w:val="auto"/>
          <w:sz w:val="24"/>
          <w:szCs w:val="24"/>
          <w:highlight w:val="none"/>
          <w:lang w:val="en-US" w:eastAsia="zh-CN"/>
        </w:rPr>
        <w:t>清单中</w:t>
      </w:r>
      <w:r>
        <w:rPr>
          <w:rFonts w:hint="eastAsia" w:ascii="宋体" w:hAnsi="宋体" w:eastAsia="宋体" w:cs="宋体"/>
          <w:b w:val="0"/>
          <w:bCs w:val="0"/>
          <w:color w:val="auto"/>
          <w:sz w:val="24"/>
          <w:szCs w:val="24"/>
          <w:highlight w:val="none"/>
          <w:lang w:val="zh-TW" w:eastAsia="zh-CN"/>
        </w:rPr>
        <w:t>没有的，但又相近相似的，参照</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zh-TW" w:eastAsia="zh-CN"/>
        </w:rPr>
        <w:t>文件报价</w:t>
      </w:r>
      <w:r>
        <w:rPr>
          <w:rFonts w:hint="eastAsia" w:ascii="宋体" w:hAnsi="宋体" w:eastAsia="宋体" w:cs="宋体"/>
          <w:b w:val="0"/>
          <w:bCs w:val="0"/>
          <w:color w:val="auto"/>
          <w:sz w:val="24"/>
          <w:szCs w:val="24"/>
          <w:highlight w:val="none"/>
          <w:lang w:val="en-US" w:eastAsia="zh-CN"/>
        </w:rPr>
        <w:t>清单</w:t>
      </w:r>
      <w:r>
        <w:rPr>
          <w:rFonts w:hint="eastAsia" w:ascii="宋体" w:hAnsi="宋体" w:eastAsia="宋体" w:cs="宋体"/>
          <w:b w:val="0"/>
          <w:bCs w:val="0"/>
          <w:color w:val="auto"/>
          <w:sz w:val="24"/>
          <w:szCs w:val="24"/>
          <w:highlight w:val="none"/>
          <w:lang w:val="zh-TW" w:eastAsia="zh-CN"/>
        </w:rPr>
        <w:t>中相应子目单价执行；新增的子目，</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zh-TW" w:eastAsia="zh-CN"/>
        </w:rPr>
        <w:t>报价文件中没有的，或没有相近相似的，按现行的《广东省建设工程计价通则》、《建设工程量清单计价规范》，《韶关市建筑工程造价信息》或市场价格信息计价，并按</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zh-TW" w:eastAsia="zh-CN"/>
        </w:rPr>
        <w:t>文件报价的</w:t>
      </w:r>
      <w:r>
        <w:rPr>
          <w:rFonts w:hint="eastAsia" w:ascii="宋体" w:hAnsi="宋体" w:eastAsia="宋体" w:cs="宋体"/>
          <w:b w:val="0"/>
          <w:bCs w:val="0"/>
          <w:color w:val="auto"/>
          <w:sz w:val="24"/>
          <w:szCs w:val="24"/>
          <w:highlight w:val="none"/>
          <w:lang w:val="en-US" w:eastAsia="zh-CN"/>
        </w:rPr>
        <w:t>总</w:t>
      </w:r>
      <w:r>
        <w:rPr>
          <w:rFonts w:hint="eastAsia" w:ascii="宋体" w:hAnsi="宋体" w:eastAsia="宋体" w:cs="宋体"/>
          <w:b w:val="0"/>
          <w:bCs w:val="0"/>
          <w:color w:val="auto"/>
          <w:sz w:val="24"/>
          <w:szCs w:val="24"/>
          <w:highlight w:val="none"/>
          <w:lang w:val="zh-TW" w:eastAsia="zh-CN"/>
        </w:rPr>
        <w:t>下浮率进行下浮。实际结算单价根据首次</w:t>
      </w:r>
      <w:r>
        <w:rPr>
          <w:rFonts w:hint="eastAsia" w:ascii="宋体" w:hAnsi="宋体" w:eastAsia="宋体" w:cs="宋体"/>
          <w:b w:val="0"/>
          <w:bCs w:val="0"/>
          <w:color w:val="auto"/>
          <w:sz w:val="24"/>
          <w:szCs w:val="24"/>
          <w:highlight w:val="none"/>
          <w:lang w:val="en-US" w:eastAsia="zh-CN"/>
        </w:rPr>
        <w:t>报价</w:t>
      </w:r>
      <w:r>
        <w:rPr>
          <w:rFonts w:hint="eastAsia" w:ascii="宋体" w:hAnsi="宋体" w:eastAsia="宋体" w:cs="宋体"/>
          <w:b w:val="0"/>
          <w:bCs w:val="0"/>
          <w:color w:val="auto"/>
          <w:sz w:val="24"/>
          <w:szCs w:val="24"/>
          <w:highlight w:val="none"/>
          <w:lang w:val="zh-TW" w:eastAsia="zh-CN"/>
        </w:rPr>
        <w:t>单价进行下浮，</w:t>
      </w:r>
      <w:r>
        <w:rPr>
          <w:rFonts w:hint="eastAsia" w:ascii="宋体" w:hAnsi="宋体" w:eastAsia="宋体" w:cs="宋体"/>
          <w:b w:val="0"/>
          <w:bCs w:val="0"/>
          <w:color w:val="auto"/>
          <w:sz w:val="24"/>
          <w:szCs w:val="24"/>
          <w:highlight w:val="none"/>
          <w:lang w:val="en-US" w:eastAsia="zh-CN"/>
        </w:rPr>
        <w:t>下浮率计算公式为：</w:t>
      </w:r>
      <w:r>
        <w:rPr>
          <w:rFonts w:hint="eastAsia" w:ascii="宋体" w:hAnsi="宋体" w:eastAsia="宋体" w:cs="宋体"/>
          <w:b w:val="0"/>
          <w:bCs w:val="0"/>
          <w:color w:val="auto"/>
          <w:sz w:val="24"/>
          <w:szCs w:val="24"/>
          <w:highlight w:val="none"/>
          <w:lang w:val="zh-TW" w:eastAsia="zh-CN"/>
        </w:rPr>
        <w:t>下浮率</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TW" w:eastAsia="zh-CN"/>
        </w:rPr>
        <w:t>首次报价</w:t>
      </w:r>
      <w:r>
        <w:rPr>
          <w:rFonts w:hint="eastAsia" w:ascii="宋体" w:hAnsi="宋体" w:eastAsia="宋体" w:cs="宋体"/>
          <w:b w:val="0"/>
          <w:bCs w:val="0"/>
          <w:color w:val="auto"/>
          <w:sz w:val="24"/>
          <w:szCs w:val="24"/>
          <w:highlight w:val="none"/>
          <w:lang w:val="en-US" w:eastAsia="zh-CN"/>
        </w:rPr>
        <w:t>-最终</w:t>
      </w:r>
      <w:r>
        <w:rPr>
          <w:rFonts w:hint="eastAsia" w:ascii="宋体" w:hAnsi="宋体" w:eastAsia="宋体" w:cs="宋体"/>
          <w:b w:val="0"/>
          <w:bCs w:val="0"/>
          <w:color w:val="auto"/>
          <w:sz w:val="24"/>
          <w:szCs w:val="24"/>
          <w:highlight w:val="none"/>
          <w:lang w:val="zh-TW" w:eastAsia="zh-CN"/>
        </w:rPr>
        <w:t>报价</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TW" w:eastAsia="zh-CN"/>
        </w:rPr>
        <w:t>首次报价</w:t>
      </w:r>
      <w:r>
        <w:rPr>
          <w:rFonts w:hint="eastAsia" w:ascii="宋体" w:hAnsi="宋体" w:eastAsia="宋体" w:cs="宋体"/>
          <w:b w:val="0"/>
          <w:bCs w:val="0"/>
          <w:color w:val="auto"/>
          <w:sz w:val="24"/>
          <w:szCs w:val="24"/>
          <w:highlight w:val="none"/>
          <w:lang w:val="en-US" w:eastAsia="zh-CN"/>
        </w:rPr>
        <w:t>*100%。注：两次报价均须减去非竞争费用部分（</w:t>
      </w:r>
      <w:r>
        <w:rPr>
          <w:rFonts w:hint="eastAsia" w:ascii="宋体" w:hAnsi="宋体" w:eastAsia="宋体" w:cs="宋体"/>
          <w:b w:val="0"/>
          <w:bCs w:val="0"/>
          <w:color w:val="auto"/>
          <w:sz w:val="24"/>
          <w:szCs w:val="24"/>
          <w:highlight w:val="none"/>
          <w:lang w:val="hr-HR" w:eastAsia="zh-CN"/>
        </w:rPr>
        <w:t>绿色施工安全防护措施费</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hr-HR" w:eastAsia="zh-CN"/>
        </w:rPr>
        <w:t>暂列金额）</w:t>
      </w:r>
      <w:r>
        <w:rPr>
          <w:rFonts w:hint="eastAsia" w:ascii="宋体" w:hAnsi="宋体" w:eastAsia="宋体" w:cs="宋体"/>
          <w:b w:val="0"/>
          <w:bCs w:val="0"/>
          <w:color w:val="auto"/>
          <w:sz w:val="24"/>
          <w:szCs w:val="24"/>
          <w:highlight w:val="none"/>
          <w:lang w:val="en-US" w:eastAsia="zh-CN"/>
        </w:rPr>
        <w:t>再进行下浮率公式计算。</w:t>
      </w:r>
    </w:p>
    <w:p>
      <w:pPr>
        <w:keepNext w:val="0"/>
        <w:keepLines w:val="0"/>
        <w:pageBreakBefore w:val="0"/>
        <w:kinsoku/>
        <w:wordWrap/>
        <w:overflowPunct/>
        <w:topLinePunct w:val="0"/>
        <w:autoSpaceDE/>
        <w:autoSpaceDN/>
        <w:bidi w:val="0"/>
        <w:adjustRightInd/>
        <w:spacing w:line="480" w:lineRule="auto"/>
        <w:ind w:left="0" w:righ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质保期要求</w:t>
      </w:r>
      <w:r>
        <w:rPr>
          <w:rFonts w:hint="eastAsia" w:ascii="宋体" w:hAnsi="宋体" w:eastAsia="宋体" w:cs="宋体"/>
          <w:b w:val="0"/>
          <w:bCs w:val="0"/>
          <w:color w:val="auto"/>
          <w:sz w:val="24"/>
          <w:szCs w:val="24"/>
          <w:highlight w:val="none"/>
          <w:lang w:eastAsia="zh-CN"/>
        </w:rPr>
        <w:t>：</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（1）本工程的质量保修期/缺陷责任期为</w:t>
      </w:r>
      <w:r>
        <w:rPr>
          <w:rFonts w:hint="eastAsia" w:ascii="宋体" w:hAnsi="宋体" w:eastAsia="宋体" w:cs="宋体"/>
          <w:b w:val="0"/>
          <w:bCs w:val="0"/>
          <w:color w:val="auto"/>
          <w:sz w:val="24"/>
          <w:szCs w:val="24"/>
          <w:highlight w:val="none"/>
          <w:u w:val="single"/>
          <w:lang w:val="en-US" w:eastAsia="zh-CN"/>
        </w:rPr>
        <w:t>2</w:t>
      </w:r>
      <w:r>
        <w:rPr>
          <w:rFonts w:hint="eastAsia" w:ascii="宋体" w:hAnsi="宋体" w:eastAsia="宋体" w:cs="宋体"/>
          <w:b w:val="0"/>
          <w:bCs w:val="0"/>
          <w:color w:val="auto"/>
          <w:sz w:val="24"/>
          <w:szCs w:val="24"/>
          <w:highlight w:val="none"/>
          <w:lang w:val="en-US" w:eastAsia="zh-CN"/>
        </w:rPr>
        <w:t>年，自全部工程竣工验收合格之日起算。</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（2）在工程保修期内，成交供应商应当根据有关法律以及合同规定，在约定的保修范围、保修期限内承担保修责任。保修的费用由造成质量缺陷的责任方承担。</w:t>
      </w:r>
    </w:p>
    <w:p>
      <w:pPr>
        <w:pStyle w:val="4"/>
        <w:keepNext w:val="0"/>
        <w:keepLines w:val="0"/>
        <w:pageBreakBefore w:val="0"/>
        <w:kinsoku/>
        <w:wordWrap/>
        <w:overflowPunct/>
        <w:topLinePunct w:val="0"/>
        <w:autoSpaceDE/>
        <w:autoSpaceDN/>
        <w:bidi w:val="0"/>
        <w:adjustRightInd/>
        <w:spacing w:line="480" w:lineRule="auto"/>
        <w:ind w:left="0" w:righ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售后服务要求</w:t>
      </w:r>
      <w:r>
        <w:rPr>
          <w:rFonts w:hint="eastAsia" w:ascii="宋体" w:hAnsi="宋体" w:eastAsia="宋体" w:cs="宋体"/>
          <w:b w:val="0"/>
          <w:bCs w:val="0"/>
          <w:color w:val="auto"/>
          <w:sz w:val="24"/>
          <w:szCs w:val="24"/>
          <w:highlight w:val="none"/>
          <w:lang w:eastAsia="zh-CN"/>
        </w:rPr>
        <w:t>：</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（1）属于保修范围、内容的项目，成交供应商应当在接到保修通知之日起3天内派人保修。成交供应商不在约定期限内派人保修的，采购人可以委托他人修理。</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（2）发生紧急抢修事故的，成交供应商在接到事故通知后，应当立即到达事故现场抢修。</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对于涉及结构安全的质量问题，成交供应商应当按照有关规定，立即向当地建设行政主管部门报告，采取安全防范措施；由原设计单位或者具有相应资质等级的设计单位提出保修方案，成交供应商实施保修。</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（4）质量保修完成后，由采购人组织验收。</w:t>
      </w:r>
    </w:p>
    <w:p>
      <w:pPr>
        <w:keepNext w:val="0"/>
        <w:keepLines w:val="0"/>
        <w:pageBreakBefore w:val="0"/>
        <w:kinsoku/>
        <w:wordWrap/>
        <w:overflowPunct/>
        <w:topLinePunct w:val="0"/>
        <w:autoSpaceDE/>
        <w:autoSpaceDN/>
        <w:bidi w:val="0"/>
        <w:adjustRightInd/>
        <w:spacing w:line="480" w:lineRule="auto"/>
        <w:ind w:left="0" w:righ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工程量增减调整方法规定</w:t>
      </w:r>
      <w:r>
        <w:rPr>
          <w:rFonts w:hint="eastAsia" w:ascii="宋体" w:hAnsi="宋体" w:eastAsia="宋体" w:cs="宋体"/>
          <w:b w:val="0"/>
          <w:bCs w:val="0"/>
          <w:color w:val="auto"/>
          <w:sz w:val="24"/>
          <w:szCs w:val="24"/>
          <w:highlight w:val="none"/>
          <w:lang w:eastAsia="zh-CN"/>
        </w:rPr>
        <w:t>：</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（1）所有设计变更、现场签证、施工组织设计等涉及工程内容及工程量的变化可能导致合同价款调整的必须在该事实发生前经采购人会签，才可作为合同价款调整依据，否则，结算时不予认可。</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（2）已标价工程量清单中无适用于变更工程的子目，但有类似子目的，可在合理范围内参照类似子目的单价，由采购人与成交供应商商定。</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（3）已标价工程量清单中无适用或类似子目的单价，由采购人与成交供应商按广东省计量计价规范重新组价后并按成交下浮率计算。</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（4）工程量偏差（工程量清单对比招标图纸）±5%及以内的工程量由发承包双方作为风险承担，不调整合同价格。</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合同履行期间，当应予计算的实际工程量与招标工程量清单出现偏差或因工程变更引起已标价分部分项工程量清单项目和措施项目清单的工程量发生变化时，合同清单工程量内的，其综合单价不予调整；合同清单工程量之外增加工程量部分的分部分项工程量清单和措施项目清单的的综合单价取投标单价（若同一单项有不同报价的取低价）和招标时期预算定额单价×（1-成交下浮率）二者的低价；合同清单工程量之外减少部分的分部分项工程量清单和措施项目清单的综合单价取投标单价（若同一单项有不同报价的取低价）和招标时期预算定额单价×（1-成交下浮率）二者的高价；按系数计算的绿色施工安全防护措施费和按系数或单一总价方式计价的措施项目费不予调整。</w:t>
      </w:r>
    </w:p>
    <w:p>
      <w:pPr>
        <w:pStyle w:val="4"/>
        <w:keepNext w:val="0"/>
        <w:keepLines w:val="0"/>
        <w:pageBreakBefore w:val="0"/>
        <w:kinsoku/>
        <w:wordWrap/>
        <w:overflowPunct/>
        <w:topLinePunct w:val="0"/>
        <w:autoSpaceDE/>
        <w:autoSpaceDN/>
        <w:bidi w:val="0"/>
        <w:adjustRightInd/>
        <w:spacing w:line="480" w:lineRule="auto"/>
        <w:ind w:left="0" w:righ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8、环境保护措施：</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（1）防止噪声污染措施</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本项目噪声按《声环境质量标准》（GB3096-2008）中2类标准进行管理，环境噪声昼间不大于60dB（A），夜间不大于50dB（A）。</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1）施工期内对建筑材料运输车辆进行合理的调度和管理，施工噪声源强较高的设备避免夜间作业。</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2）尽可能选用性能稳定、运转平稳、低噪声的设备，使用时减少设备空载运转。</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3）产生噪声的主要机械设备如通风设备、水泵等，采取减震、消声等措施，从声源上进行防治，使噪声对环境的影响符合国家标准的要求。</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（2）废气污染控制措施</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1）施工场地尽量减少物料倒运次数，减少施工扬尘。</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2）建立卫生管理制度，保证作业环境清洁卫生。</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（3）污废水排放控制措施排水系统采用雨污分流系统。</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项目中央空调系统冷却水循环使用，不外排。体育馆生活污水经生活污水处理设施处理达标后排放。</w:t>
      </w:r>
    </w:p>
    <w:p>
      <w:pPr>
        <w:shd w:val="clear" w:color="auto" w:fill="auto"/>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、采购项目商务要求</w:t>
      </w:r>
    </w:p>
    <w:p>
      <w:pPr>
        <w:shd w:val="clear" w:color="auto" w:fill="auto"/>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（一）施工工期、施工地点</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1、施工工期：7个日历天内完成。</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2、施工地点：广东省韶关市浈江区十里亭镇黄岗北江监狱监管区内</w:t>
      </w:r>
    </w:p>
    <w:p>
      <w:pPr>
        <w:shd w:val="clear" w:color="auto" w:fill="auto"/>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（二）施工要求</w:t>
      </w:r>
    </w:p>
    <w:p>
      <w:pPr>
        <w:shd w:val="clear" w:color="auto" w:fill="auto"/>
        <w:spacing w:line="48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1、成交供应商以成交价按磋商文件和工程量清单包工</w:t>
      </w:r>
      <w:bookmarkStart w:id="6" w:name="_Hlt87948212"/>
      <w:bookmarkEnd w:id="6"/>
      <w:r>
        <w:rPr>
          <w:rFonts w:hint="eastAsia" w:ascii="宋体" w:hAnsi="宋体" w:eastAsia="宋体" w:cs="宋体"/>
          <w:b w:val="0"/>
          <w:bCs w:val="0"/>
          <w:color w:val="auto"/>
          <w:sz w:val="24"/>
          <w:szCs w:val="24"/>
          <w:highlight w:val="none"/>
          <w:lang w:val="en-US" w:eastAsia="zh-CN"/>
        </w:rPr>
        <w:t>包料包质量包安全包文明施工方式承包施工，不允许转包和非法分包，如确需分包须与采购人协商并得到采购人同意。开工时间以采购人的开工令为准。</w:t>
      </w:r>
    </w:p>
    <w:p>
      <w:pPr>
        <w:shd w:val="clear" w:color="auto" w:fill="auto"/>
        <w:spacing w:line="480" w:lineRule="auto"/>
        <w:ind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TW" w:eastAsia="zh-TW"/>
        </w:rPr>
        <w:t>必须拟定项目进度安排计划。在</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lang w:val="zh-TW" w:eastAsia="zh-TW"/>
        </w:rPr>
        <w:t>期间，严格遵守采购人的有关制度。</w:t>
      </w:r>
    </w:p>
    <w:p>
      <w:pPr>
        <w:shd w:val="clear" w:color="auto" w:fill="auto"/>
        <w:spacing w:line="480" w:lineRule="auto"/>
        <w:ind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3、成交供应商</w:t>
      </w:r>
      <w:r>
        <w:rPr>
          <w:rFonts w:hint="eastAsia" w:ascii="宋体" w:hAnsi="宋体" w:eastAsia="宋体" w:cs="宋体"/>
          <w:color w:val="auto"/>
          <w:sz w:val="24"/>
          <w:szCs w:val="24"/>
          <w:highlight w:val="none"/>
          <w:lang w:val="zh-TW" w:eastAsia="zh-TW"/>
        </w:rPr>
        <w:t>工作需要的用水、用电</w:t>
      </w:r>
      <w:r>
        <w:rPr>
          <w:rFonts w:hint="eastAsia" w:ascii="宋体" w:hAnsi="宋体" w:eastAsia="宋体" w:cs="宋体"/>
          <w:color w:val="auto"/>
          <w:sz w:val="24"/>
          <w:szCs w:val="24"/>
          <w:highlight w:val="none"/>
          <w:lang w:val="zh-TW" w:eastAsia="zh-CN"/>
        </w:rPr>
        <w:t>自行负责</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zh-TW" w:eastAsia="zh-TW"/>
        </w:rPr>
        <w:t>须节约水电</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TW"/>
        </w:rPr>
        <w:t>接受采购人的水电的</w:t>
      </w:r>
      <w:r>
        <w:rPr>
          <w:rFonts w:hint="eastAsia" w:ascii="宋体" w:hAnsi="宋体" w:eastAsia="宋体" w:cs="宋体"/>
          <w:color w:val="auto"/>
          <w:sz w:val="24"/>
          <w:szCs w:val="24"/>
          <w:highlight w:val="none"/>
          <w:lang w:val="zh-TW" w:eastAsia="zh-CN"/>
        </w:rPr>
        <w:t>管理</w:t>
      </w:r>
      <w:r>
        <w:rPr>
          <w:rFonts w:hint="eastAsia" w:ascii="宋体" w:hAnsi="宋体" w:eastAsia="宋体" w:cs="宋体"/>
          <w:color w:val="auto"/>
          <w:sz w:val="24"/>
          <w:szCs w:val="24"/>
          <w:highlight w:val="none"/>
          <w:lang w:val="zh-TW" w:eastAsia="zh-TW"/>
        </w:rPr>
        <w:t>。</w:t>
      </w:r>
    </w:p>
    <w:p>
      <w:pPr>
        <w:shd w:val="clear" w:color="auto" w:fill="auto"/>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4、成交供应商施工人员的住宿、医疗、工伤、意外保险、治安等问题由成交供应商自行解决，与采购人无任何关系。</w:t>
      </w:r>
    </w:p>
    <w:p>
      <w:pPr>
        <w:shd w:val="clear" w:color="auto" w:fill="auto"/>
        <w:spacing w:line="480" w:lineRule="auto"/>
        <w:ind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TW" w:eastAsia="zh-TW"/>
        </w:rPr>
        <w:t>施工期间需做到安全文明施工，不损坏采购人的设备设施，否则原价赔偿。</w:t>
      </w:r>
    </w:p>
    <w:p>
      <w:pPr>
        <w:shd w:val="clear" w:color="auto" w:fill="auto"/>
        <w:spacing w:line="48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6、供应商2022年1月1日至今未发生事故等级为一般事故（或以上）的生产安全事故、一般质量事故（或以上）的工程质量事故，以及未有投标违纪处罚并仍在处罚期限内；否则，采购人有权拒绝其为成交供应商（提供承诺函，格式自拟）。</w:t>
      </w:r>
    </w:p>
    <w:p>
      <w:pPr>
        <w:keepNext w:val="0"/>
        <w:keepLines w:val="0"/>
        <w:pageBreakBefore w:val="0"/>
        <w:kinsoku/>
        <w:wordWrap/>
        <w:overflowPunct/>
        <w:topLinePunct w:val="0"/>
        <w:autoSpaceDE/>
        <w:autoSpaceDN/>
        <w:bidi w:val="0"/>
        <w:adjustRightInd/>
        <w:spacing w:line="480" w:lineRule="auto"/>
        <w:ind w:left="0" w:leftChars="0" w:right="0" w:firstLine="482" w:firstLineChars="200"/>
        <w:jc w:val="left"/>
        <w:textAlignment w:val="auto"/>
        <w:outlineLvl w:val="3"/>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）验收标准及要求</w:t>
      </w:r>
    </w:p>
    <w:p>
      <w:pPr>
        <w:shd w:val="clear" w:color="auto" w:fill="auto"/>
        <w:spacing w:line="480" w:lineRule="auto"/>
        <w:ind w:firstLine="480" w:firstLineChars="20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CN"/>
        </w:rPr>
        <w:t>1、交付验收标准为：按本合同约定的技术指标、符合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TW" w:eastAsia="zh-CN"/>
        </w:rPr>
        <w:t>文件和响应承诺中采购人认可的合理最佳参数及各项要求、国家相关标准和行业规范进行</w:t>
      </w:r>
      <w:r>
        <w:rPr>
          <w:rFonts w:hint="eastAsia" w:ascii="宋体" w:hAnsi="宋体" w:eastAsia="宋体" w:cs="宋体"/>
          <w:color w:val="auto"/>
          <w:sz w:val="24"/>
          <w:szCs w:val="24"/>
          <w:highlight w:val="none"/>
          <w:lang w:val="en-US" w:eastAsia="zh-CN"/>
        </w:rPr>
        <w:t>施工，经双方确认后，并根据施工效果，</w:t>
      </w:r>
      <w:r>
        <w:rPr>
          <w:rFonts w:hint="eastAsia" w:ascii="宋体" w:hAnsi="宋体" w:eastAsia="宋体" w:cs="宋体"/>
          <w:color w:val="auto"/>
          <w:sz w:val="24"/>
          <w:szCs w:val="24"/>
          <w:highlight w:val="none"/>
          <w:lang w:val="zh-TW" w:eastAsia="zh-TW"/>
        </w:rPr>
        <w:t>确保达到合格工程。</w:t>
      </w:r>
    </w:p>
    <w:p>
      <w:pPr>
        <w:shd w:val="clear" w:color="auto" w:fill="auto"/>
        <w:spacing w:line="48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验收流程按采购人规章制度执行，由采购人组成验收小组（含</w:t>
      </w:r>
      <w:r>
        <w:rPr>
          <w:rFonts w:hint="eastAsia" w:ascii="宋体" w:hAnsi="宋体" w:eastAsia="宋体" w:cs="宋体"/>
          <w:color w:val="auto"/>
          <w:sz w:val="24"/>
          <w:szCs w:val="24"/>
          <w:highlight w:val="none"/>
          <w:lang w:val="en-US" w:eastAsia="zh-CN"/>
        </w:rPr>
        <w:t>成交供应商人员</w:t>
      </w:r>
      <w:r>
        <w:rPr>
          <w:rFonts w:hint="eastAsia" w:ascii="宋体" w:hAnsi="宋体" w:eastAsia="宋体" w:cs="宋体"/>
          <w:color w:val="auto"/>
          <w:sz w:val="24"/>
          <w:szCs w:val="24"/>
          <w:highlight w:val="none"/>
          <w:lang w:val="zh-TW" w:eastAsia="zh-CN"/>
        </w:rPr>
        <w:t>）按国家有关规定、规范进行验收，必要时采购人可邀请相关的专业人员或机构参与验收。</w:t>
      </w:r>
    </w:p>
    <w:p>
      <w:pPr>
        <w:shd w:val="clear" w:color="auto" w:fill="auto"/>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CN"/>
        </w:rPr>
        <w:t>3、</w:t>
      </w:r>
      <w:r>
        <w:rPr>
          <w:rFonts w:hint="eastAsia" w:ascii="宋体" w:hAnsi="宋体" w:eastAsia="宋体" w:cs="宋体"/>
          <w:color w:val="auto"/>
          <w:sz w:val="24"/>
          <w:szCs w:val="24"/>
          <w:highlight w:val="none"/>
          <w:lang w:val="en-US" w:eastAsia="zh-CN"/>
        </w:rPr>
        <w:t>项目完工</w:t>
      </w:r>
      <w:r>
        <w:rPr>
          <w:rFonts w:hint="eastAsia" w:ascii="宋体" w:hAnsi="宋体" w:eastAsia="宋体" w:cs="宋体"/>
          <w:color w:val="auto"/>
          <w:sz w:val="24"/>
          <w:szCs w:val="24"/>
          <w:highlight w:val="none"/>
          <w:lang w:val="zh-TW" w:eastAsia="zh-CN"/>
        </w:rPr>
        <w:t>后，</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zh-TW" w:eastAsia="zh-CN"/>
        </w:rPr>
        <w:t>应向采购人提出书面验收申请，准备并向采购人提交验收文件，本合同项下的全部</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val="zh-TW" w:eastAsia="zh-CN"/>
        </w:rPr>
        <w:t>按采购人验收流程验收通过，经双方签署验收合格证明后，视为验收合格。</w:t>
      </w:r>
    </w:p>
    <w:p>
      <w:pPr>
        <w:keepNext w:val="0"/>
        <w:keepLines w:val="0"/>
        <w:pageBreakBefore w:val="0"/>
        <w:kinsoku/>
        <w:wordWrap/>
        <w:overflowPunct/>
        <w:topLinePunct w:val="0"/>
        <w:autoSpaceDE/>
        <w:autoSpaceDN/>
        <w:bidi w:val="0"/>
        <w:adjustRightInd/>
        <w:spacing w:line="480" w:lineRule="auto"/>
        <w:ind w:left="0" w:leftChars="0" w:right="0" w:firstLine="482" w:firstLineChars="200"/>
        <w:jc w:val="left"/>
        <w:textAlignment w:val="auto"/>
        <w:outlineLvl w:val="3"/>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）付款方式</w:t>
      </w:r>
    </w:p>
    <w:bookmarkEnd w:id="5"/>
    <w:p>
      <w:pPr>
        <w:shd w:val="clear" w:color="auto" w:fill="auto"/>
        <w:spacing w:line="48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CN"/>
        </w:rPr>
        <w:t>本项目完工后，成交供应商按采购人要求及时提供项目相关资料（</w:t>
      </w:r>
      <w:r>
        <w:rPr>
          <w:rFonts w:hint="eastAsia" w:ascii="宋体" w:hAnsi="宋体" w:eastAsia="宋体" w:cs="宋体"/>
          <w:color w:val="auto"/>
          <w:sz w:val="24"/>
          <w:szCs w:val="24"/>
          <w:highlight w:val="none"/>
          <w:lang w:val="en-US" w:eastAsia="zh-CN"/>
        </w:rPr>
        <w:t>工程量变更签证（如无则不需要）、验收证明等全部工程资料</w:t>
      </w:r>
      <w:r>
        <w:rPr>
          <w:rFonts w:hint="eastAsia" w:ascii="宋体" w:hAnsi="宋体" w:eastAsia="宋体" w:cs="宋体"/>
          <w:color w:val="auto"/>
          <w:sz w:val="24"/>
          <w:szCs w:val="24"/>
          <w:highlight w:val="none"/>
          <w:lang w:val="zh-TW" w:eastAsia="zh-CN"/>
        </w:rPr>
        <w:t>）统一送采购人审核。</w:t>
      </w:r>
    </w:p>
    <w:p>
      <w:pPr>
        <w:shd w:val="clear" w:color="auto" w:fill="auto"/>
        <w:spacing w:line="48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经竣工结算审定完成后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采购人支付完成至审定结算价全部工程款。</w:t>
      </w:r>
    </w:p>
    <w:p>
      <w:pPr>
        <w:shd w:val="clear" w:color="auto" w:fill="auto"/>
        <w:spacing w:line="48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3、在本项目施工期间，</w:t>
      </w:r>
      <w:r>
        <w:rPr>
          <w:rFonts w:hint="eastAsia" w:ascii="宋体" w:hAnsi="宋体" w:eastAsia="宋体" w:cs="宋体"/>
          <w:color w:val="auto"/>
          <w:sz w:val="24"/>
          <w:szCs w:val="24"/>
          <w:highlight w:val="none"/>
          <w:lang w:val="zh-TW" w:eastAsia="zh-CN"/>
        </w:rPr>
        <w:t>发生一般事故及以上等级重大安全事故的，采购人可扣除成交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TW" w:eastAsia="zh-CN"/>
        </w:rPr>
        <w:t>金额相当于所有“绿色施工安全防护措施费”的工程管理费。</w:t>
      </w:r>
    </w:p>
    <w:p>
      <w:pPr>
        <w:shd w:val="clear" w:color="auto" w:fill="auto"/>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4、成交供应商申请工程款时，需向采购人提供有效的</w:t>
      </w:r>
      <w:r>
        <w:rPr>
          <w:rFonts w:hint="eastAsia" w:ascii="宋体" w:hAnsi="宋体" w:eastAsia="宋体" w:cs="宋体"/>
          <w:color w:val="auto"/>
          <w:sz w:val="24"/>
          <w:szCs w:val="24"/>
          <w:highlight w:val="none"/>
          <w:lang w:val="zh-TW" w:eastAsia="zh-CN"/>
        </w:rPr>
        <w:t>增值税专用发票。如果成交供应商无法提供符合要求的发票，由此造成的相应损失由成交供应商承担。</w:t>
      </w:r>
    </w:p>
    <w:p>
      <w:pPr>
        <w:pStyle w:val="3"/>
        <w:keepNext w:val="0"/>
        <w:keepLines w:val="0"/>
        <w:pageBreakBefore w:val="0"/>
        <w:kinsoku/>
        <w:wordWrap/>
        <w:overflowPunct/>
        <w:topLinePunct w:val="0"/>
        <w:autoSpaceDE/>
        <w:autoSpaceDN/>
        <w:bidi w:val="0"/>
        <w:adjustRightInd/>
        <w:snapToGrid/>
        <w:spacing w:line="480" w:lineRule="auto"/>
        <w:ind w:left="0" w:right="0" w:firstLine="482" w:firstLineChars="20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kern w:val="2"/>
          <w:sz w:val="24"/>
          <w:szCs w:val="24"/>
          <w:highlight w:val="none"/>
          <w:lang w:val="en-US" w:eastAsia="zh-CN" w:bidi="ar-SA"/>
        </w:rPr>
        <w:t>履约保证金：</w:t>
      </w:r>
    </w:p>
    <w:p>
      <w:pPr>
        <w:shd w:val="clear" w:color="auto" w:fill="auto"/>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在领取成交通知书之日起</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val="en-US" w:eastAsia="zh-CN"/>
        </w:rPr>
        <w:t>个工作日内、签订合同前，成交供应商须向采购人支付成交合同总价3%的合同履约保证金，履约保证金可以银行转账、支票、汇票、本票或者金融机构、担保机构出具的保函等非现金形式提交。项目通过竣工验收履约担保金转为工程质量保证金。履约保证金以银行转账方式提交的，质保期/缺陷责任期（</w:t>
      </w:r>
      <w:r>
        <w:rPr>
          <w:rFonts w:hint="eastAsia" w:ascii="宋体" w:hAnsi="宋体" w:eastAsia="宋体" w:cs="宋体"/>
          <w:color w:val="auto"/>
          <w:sz w:val="24"/>
          <w:szCs w:val="24"/>
          <w:highlight w:val="none"/>
          <w:u w:val="single"/>
          <w:lang w:val="en-US" w:eastAsia="zh-CN"/>
        </w:rPr>
        <w:t>2年</w:t>
      </w:r>
      <w:r>
        <w:rPr>
          <w:rFonts w:hint="eastAsia" w:ascii="宋体" w:hAnsi="宋体" w:eastAsia="宋体" w:cs="宋体"/>
          <w:color w:val="auto"/>
          <w:sz w:val="24"/>
          <w:szCs w:val="24"/>
          <w:highlight w:val="none"/>
          <w:lang w:val="en-US" w:eastAsia="zh-CN"/>
        </w:rPr>
        <w:t>）满经质保验收后</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lang w:val="en-US" w:eastAsia="zh-CN"/>
        </w:rPr>
        <w:t>个工作日内一次性免息付清。</w:t>
      </w:r>
    </w:p>
    <w:p>
      <w:pPr>
        <w:keepNext w:val="0"/>
        <w:keepLines w:val="0"/>
        <w:pageBreakBefore w:val="0"/>
        <w:numPr>
          <w:ilvl w:val="0"/>
          <w:numId w:val="0"/>
        </w:numPr>
        <w:kinsoku/>
        <w:wordWrap/>
        <w:overflowPunct/>
        <w:topLinePunct w:val="0"/>
        <w:bidi w:val="0"/>
        <w:adjustRightInd/>
        <w:snapToGrid/>
        <w:spacing w:line="480" w:lineRule="auto"/>
        <w:ind w:left="0" w:right="0"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sz w:val="24"/>
          <w:szCs w:val="24"/>
          <w:highlight w:val="none"/>
        </w:rPr>
        <w:t>其他</w:t>
      </w:r>
      <w:r>
        <w:rPr>
          <w:rFonts w:hint="eastAsia" w:ascii="宋体" w:hAnsi="宋体" w:eastAsia="宋体" w:cs="宋体"/>
          <w:b/>
          <w:bCs/>
          <w:sz w:val="24"/>
          <w:szCs w:val="24"/>
          <w:highlight w:val="none"/>
          <w:lang w:val="en-US" w:eastAsia="zh-CN"/>
        </w:rPr>
        <w:t>要求</w:t>
      </w:r>
    </w:p>
    <w:p>
      <w:pPr>
        <w:shd w:val="clear" w:color="auto" w:fill="auto"/>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需承担合同履行时所要尽的一切保密义务。对项目实施过程中的资料、数据及采购人相关工作秘密进行保密，未经采购人书面同意不得泄露，且保密责任不因合同的中止或解除而失效。如因成交供应商及项目相关人员涉密对采购人造成影响，采购人有权追究责任。</w:t>
      </w:r>
    </w:p>
    <w:p>
      <w:pPr>
        <w:shd w:val="clear" w:color="auto" w:fill="auto"/>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2、外来人员必须按采购人管理要求进出监管区。</w:t>
      </w:r>
    </w:p>
    <w:p>
      <w:pPr>
        <w:shd w:val="clear" w:color="auto" w:fill="auto"/>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3、其余未尽事项由采购人和成交供应商另行商定补充。</w:t>
      </w:r>
    </w:p>
    <w:p>
      <w:pPr>
        <w:pStyle w:val="3"/>
        <w:keepNext w:val="0"/>
        <w:keepLines w:val="0"/>
        <w:pageBreakBefore w:val="0"/>
        <w:kinsoku/>
        <w:wordWrap/>
        <w:overflowPunct/>
        <w:topLinePunct w:val="0"/>
        <w:autoSpaceDE/>
        <w:autoSpaceDN/>
        <w:bidi w:val="0"/>
        <w:adjustRightInd/>
        <w:spacing w:line="560" w:lineRule="exact"/>
        <w:ind w:left="0" w:right="0" w:firstLine="480" w:firstLineChars="200"/>
        <w:jc w:val="left"/>
        <w:textAlignment w:val="auto"/>
        <w:rPr>
          <w:rFonts w:hint="eastAsia" w:ascii="宋体" w:hAnsi="宋体" w:eastAsia="宋体" w:cs="宋体"/>
          <w:b w:val="0"/>
          <w:bCs w:val="0"/>
          <w:color w:val="FF0000"/>
          <w:kern w:val="2"/>
          <w:sz w:val="24"/>
          <w:szCs w:val="24"/>
          <w:highlight w:val="none"/>
          <w:lang w:val="en-US" w:eastAsia="zh-CN" w:bidi="ar-SA"/>
        </w:rPr>
      </w:pPr>
    </w:p>
    <w:p>
      <w:pPr>
        <w:pStyle w:val="3"/>
        <w:keepNext w:val="0"/>
        <w:keepLines w:val="0"/>
        <w:pageBreakBefore w:val="0"/>
        <w:kinsoku/>
        <w:wordWrap/>
        <w:overflowPunct/>
        <w:topLinePunct w:val="0"/>
        <w:autoSpaceDE/>
        <w:autoSpaceDN/>
        <w:bidi w:val="0"/>
        <w:adjustRightInd/>
        <w:spacing w:line="560" w:lineRule="exact"/>
        <w:ind w:left="0" w:right="0" w:firstLine="480" w:firstLineChars="200"/>
        <w:jc w:val="left"/>
        <w:textAlignment w:val="auto"/>
        <w:rPr>
          <w:rFonts w:hint="eastAsia" w:ascii="宋体" w:hAnsi="宋体" w:eastAsia="宋体" w:cs="宋体"/>
          <w:b w:val="0"/>
          <w:bCs w:val="0"/>
          <w:color w:val="FF0000"/>
          <w:kern w:val="2"/>
          <w:sz w:val="24"/>
          <w:szCs w:val="24"/>
          <w:highlight w:val="none"/>
          <w:lang w:val="en-US" w:eastAsia="zh-CN" w:bidi="ar-SA"/>
        </w:rPr>
      </w:pPr>
    </w:p>
    <w:p>
      <w:pPr>
        <w:pStyle w:val="3"/>
        <w:keepNext w:val="0"/>
        <w:keepLines w:val="0"/>
        <w:pageBreakBefore w:val="0"/>
        <w:kinsoku/>
        <w:wordWrap/>
        <w:overflowPunct/>
        <w:topLinePunct w:val="0"/>
        <w:autoSpaceDE/>
        <w:autoSpaceDN/>
        <w:bidi w:val="0"/>
        <w:adjustRightInd/>
        <w:spacing w:line="560" w:lineRule="exact"/>
        <w:ind w:left="0" w:right="0" w:firstLine="480" w:firstLineChars="200"/>
        <w:jc w:val="left"/>
        <w:textAlignment w:val="auto"/>
        <w:rPr>
          <w:rFonts w:hint="eastAsia" w:ascii="宋体" w:hAnsi="宋体" w:eastAsia="宋体" w:cs="宋体"/>
          <w:b w:val="0"/>
          <w:bCs w:val="0"/>
          <w:color w:val="FF0000"/>
          <w:kern w:val="2"/>
          <w:sz w:val="24"/>
          <w:szCs w:val="24"/>
          <w:highlight w:val="none"/>
          <w:lang w:val="en-US" w:eastAsia="zh-CN" w:bidi="ar-SA"/>
        </w:rPr>
      </w:pPr>
    </w:p>
    <w:p>
      <w:pPr>
        <w:keepNext w:val="0"/>
        <w:keepLines w:val="0"/>
        <w:pageBreakBefore w:val="0"/>
        <w:kinsoku/>
        <w:wordWrap w:val="0"/>
        <w:overflowPunct/>
        <w:topLinePunct w:val="0"/>
        <w:bidi w:val="0"/>
        <w:adjustRightInd/>
        <w:snapToGrid/>
        <w:spacing w:line="560" w:lineRule="exact"/>
        <w:ind w:left="0" w:right="0" w:firstLine="480" w:firstLineChars="200"/>
        <w:jc w:val="righ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劳动改造科         </w:t>
      </w:r>
    </w:p>
    <w:p>
      <w:pPr>
        <w:keepNext w:val="0"/>
        <w:keepLines w:val="0"/>
        <w:pageBreakBefore w:val="0"/>
        <w:kinsoku/>
        <w:wordWrap w:val="0"/>
        <w:overflowPunct/>
        <w:topLinePunct w:val="0"/>
        <w:bidi w:val="0"/>
        <w:adjustRightInd/>
        <w:snapToGrid/>
        <w:spacing w:line="560" w:lineRule="exact"/>
        <w:ind w:left="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 xml:space="preserve">日      </w:t>
      </w:r>
    </w:p>
    <w:p>
      <w:pPr>
        <w:pageBreakBefore w:val="0"/>
        <w:kinsoku/>
        <w:wordWrap/>
        <w:overflowPunct/>
        <w:topLinePunct w:val="0"/>
        <w:autoSpaceDE/>
        <w:autoSpaceDN/>
        <w:bidi w:val="0"/>
        <w:adjustRightInd/>
        <w:spacing w:line="560" w:lineRule="exact"/>
        <w:jc w:val="right"/>
        <w:textAlignment w:val="auto"/>
        <w:rPr>
          <w:rFonts w:hint="eastAsia" w:ascii="宋体" w:hAnsi="宋体" w:eastAsia="宋体" w:cs="宋体"/>
          <w:color w:val="FF0000"/>
          <w:sz w:val="24"/>
          <w:szCs w:val="24"/>
        </w:rPr>
      </w:pPr>
    </w:p>
    <w:p>
      <w:pPr>
        <w:jc w:val="right"/>
        <w:rPr>
          <w:rFonts w:hint="eastAsia" w:ascii="宋体" w:hAnsi="宋体" w:eastAsia="宋体" w:cs="宋体"/>
          <w:sz w:val="24"/>
          <w:szCs w:val="24"/>
        </w:rPr>
      </w:pPr>
    </w:p>
    <w:sectPr>
      <w:footerReference r:id="rId3" w:type="default"/>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1F5DD1"/>
    <w:rsid w:val="08CE196A"/>
    <w:rsid w:val="0DEC0FA4"/>
    <w:rsid w:val="17783A10"/>
    <w:rsid w:val="1B8A0012"/>
    <w:rsid w:val="37076A9B"/>
    <w:rsid w:val="39645BC5"/>
    <w:rsid w:val="42C4599E"/>
    <w:rsid w:val="44B352D0"/>
    <w:rsid w:val="5B196A6D"/>
    <w:rsid w:val="69FE7FDB"/>
    <w:rsid w:val="7BBF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kern w:val="0"/>
      <w:sz w:val="20"/>
    </w:rPr>
  </w:style>
  <w:style w:type="paragraph" w:styleId="4">
    <w:name w:val="Body Text"/>
    <w:basedOn w:val="1"/>
    <w:next w:val="1"/>
    <w:qFormat/>
    <w:uiPriority w:val="0"/>
    <w:pPr>
      <w:spacing w:line="360" w:lineRule="auto"/>
    </w:pPr>
    <w:rPr>
      <w:rFonts w:ascii="黑体"/>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NormalCharacter"/>
    <w:qFormat/>
    <w:uiPriority w:val="0"/>
  </w:style>
  <w:style w:type="paragraph" w:customStyle="1" w:styleId="12">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北江监狱</Company>
  <Pages>8</Pages>
  <Words>4522</Words>
  <Characters>4575</Characters>
  <Lines>0</Lines>
  <Paragraphs>0</Paragraphs>
  <TotalTime>175</TotalTime>
  <ScaleCrop>false</ScaleCrop>
  <LinksUpToDate>false</LinksUpToDate>
  <CharactersWithSpaces>4617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2025-06-09T09:49:00Z</dcterms:created>
  <dc:creator>李东广</dc:creator>
  <cp:lastModifiedBy>李小龙</cp:lastModifiedBy>
  <cp:lastPrinted>2025-06-26T01:34:37Z</cp:lastPrinted>
  <dcterms:modified xsi:type="dcterms:W3CDTF">2025-06-26T03:37:46Z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eyJoZGlkIjoiZTU1MjcyNTlkNzdiMzEwMTJiNjdiZWZkMzY3YmQxMWEiLCJ1c2VySWQiOiIzMjI4NDYzOTkifQ==</vt:lpwstr>
  </property>
  <property fmtid="{D5CDD505-2E9C-101B-9397-08002B2CF9AE}" pid="4" name="ICV">
    <vt:lpwstr>34DFBEAA22514C409119C3E11A455B90_12</vt:lpwstr>
  </property>
</Properties>
</file>