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E2856">
      <w:pPr>
        <w:rPr>
          <w:color w:val="auto"/>
        </w:rPr>
      </w:pPr>
      <w:bookmarkStart w:id="0" w:name="_Toc12861068"/>
      <w:bookmarkStart w:id="1" w:name="_Toc11771815"/>
      <w:bookmarkStart w:id="2" w:name="_Toc11771686"/>
      <w:bookmarkStart w:id="3" w:name="_Toc12330311"/>
      <w:bookmarkStart w:id="4" w:name="_Toc12377948"/>
      <w:bookmarkStart w:id="5" w:name="_Toc27840462"/>
      <w:bookmarkStart w:id="6" w:name="_Toc27840461"/>
      <w:bookmarkStart w:id="7" w:name="_Toc13884637"/>
    </w:p>
    <w:p w14:paraId="535D658E">
      <w:pPr>
        <w:spacing w:line="900" w:lineRule="exact"/>
        <w:jc w:val="center"/>
        <w:rPr>
          <w:rFonts w:hint="eastAsia" w:ascii="宋体" w:hAnsi="宋体" w:cs="宋体"/>
          <w:b/>
          <w:color w:val="auto"/>
          <w:sz w:val="60"/>
          <w:szCs w:val="60"/>
          <w:lang w:eastAsia="zh-CN"/>
        </w:rPr>
      </w:pPr>
      <w:r>
        <w:rPr>
          <w:rFonts w:hint="eastAsia" w:ascii="宋体" w:hAnsi="宋体" w:cs="宋体"/>
          <w:b/>
          <w:color w:val="auto"/>
          <w:sz w:val="60"/>
          <w:szCs w:val="60"/>
          <w:lang w:eastAsia="zh-CN"/>
        </w:rPr>
        <w:t>广东省北江监狱2025-2027年医院</w:t>
      </w:r>
    </w:p>
    <w:p w14:paraId="10784001">
      <w:pPr>
        <w:spacing w:line="900" w:lineRule="exact"/>
        <w:jc w:val="center"/>
        <w:rPr>
          <w:rFonts w:hint="eastAsia" w:ascii="宋体" w:hAnsi="宋体" w:eastAsia="宋体" w:cs="宋体"/>
          <w:b/>
          <w:color w:val="auto"/>
          <w:sz w:val="60"/>
          <w:szCs w:val="60"/>
          <w:lang w:eastAsia="zh-CN"/>
        </w:rPr>
      </w:pPr>
      <w:r>
        <w:rPr>
          <w:rFonts w:hint="eastAsia" w:ascii="宋体" w:hAnsi="宋体" w:cs="宋体"/>
          <w:b/>
          <w:color w:val="auto"/>
          <w:sz w:val="60"/>
          <w:szCs w:val="60"/>
          <w:lang w:eastAsia="zh-CN"/>
        </w:rPr>
        <w:t>外送检验项目</w:t>
      </w:r>
    </w:p>
    <w:p w14:paraId="1D07844E">
      <w:pPr>
        <w:spacing w:line="900" w:lineRule="exact"/>
        <w:jc w:val="center"/>
        <w:rPr>
          <w:rFonts w:ascii="宋体" w:hAnsi="宋体" w:cs="宋体"/>
          <w:b/>
          <w:color w:val="auto"/>
          <w:sz w:val="44"/>
          <w:szCs w:val="44"/>
        </w:rPr>
      </w:pPr>
      <w:r>
        <w:rPr>
          <w:rFonts w:hint="eastAsia" w:ascii="宋体" w:hAnsi="宋体" w:cs="宋体"/>
          <w:b/>
          <w:color w:val="auto"/>
          <w:sz w:val="36"/>
        </w:rPr>
        <w:t>（项目编号：</w:t>
      </w:r>
      <w:r>
        <w:rPr>
          <w:rFonts w:hint="eastAsia" w:ascii="宋体" w:hAnsi="宋体" w:cs="宋体"/>
          <w:b/>
          <w:color w:val="auto"/>
          <w:sz w:val="36"/>
          <w:lang w:eastAsia="zh-CN"/>
        </w:rPr>
        <w:t>SGJX250527FC</w:t>
      </w:r>
      <w:r>
        <w:rPr>
          <w:rFonts w:hint="eastAsia" w:ascii="宋体" w:hAnsi="宋体" w:cs="宋体"/>
          <w:b/>
          <w:color w:val="auto"/>
          <w:sz w:val="36"/>
        </w:rPr>
        <w:t>）</w:t>
      </w:r>
    </w:p>
    <w:p w14:paraId="29E99371">
      <w:pPr>
        <w:rPr>
          <w:rFonts w:ascii="宋体" w:hAnsi="宋体" w:cs="宋体"/>
          <w:b/>
          <w:color w:val="auto"/>
          <w:spacing w:val="78"/>
          <w:sz w:val="84"/>
          <w:szCs w:val="84"/>
        </w:rPr>
      </w:pPr>
    </w:p>
    <w:p w14:paraId="784B1061">
      <w:pPr>
        <w:rPr>
          <w:rFonts w:ascii="宋体" w:hAnsi="宋体" w:cs="宋体"/>
          <w:b/>
          <w:color w:val="auto"/>
          <w:spacing w:val="78"/>
          <w:sz w:val="84"/>
          <w:szCs w:val="84"/>
        </w:rPr>
      </w:pPr>
    </w:p>
    <w:p w14:paraId="72E4AFE4">
      <w:pPr>
        <w:rPr>
          <w:rFonts w:ascii="宋体" w:hAnsi="宋体" w:cs="宋体"/>
          <w:color w:val="auto"/>
        </w:rPr>
      </w:pPr>
    </w:p>
    <w:p w14:paraId="165C03A5">
      <w:pPr>
        <w:pStyle w:val="58"/>
        <w:rPr>
          <w:color w:val="auto"/>
        </w:rPr>
      </w:pPr>
    </w:p>
    <w:p w14:paraId="18844390">
      <w:pPr>
        <w:rPr>
          <w:rFonts w:ascii="宋体" w:hAnsi="宋体" w:cs="宋体"/>
          <w:color w:val="auto"/>
        </w:rPr>
      </w:pPr>
    </w:p>
    <w:p w14:paraId="13C7C7B5">
      <w:pPr>
        <w:jc w:val="center"/>
        <w:rPr>
          <w:rFonts w:ascii="宋体" w:hAnsi="宋体" w:cs="宋体"/>
          <w:b/>
          <w:color w:val="auto"/>
          <w:spacing w:val="78"/>
          <w:sz w:val="72"/>
          <w:szCs w:val="72"/>
        </w:rPr>
      </w:pPr>
      <w:r>
        <w:rPr>
          <w:rFonts w:hint="eastAsia" w:ascii="宋体" w:hAnsi="宋体" w:cs="宋体"/>
          <w:b/>
          <w:color w:val="auto"/>
          <w:spacing w:val="78"/>
          <w:sz w:val="72"/>
          <w:szCs w:val="72"/>
        </w:rPr>
        <w:t>竞争性磋商文件</w:t>
      </w:r>
    </w:p>
    <w:p w14:paraId="3206B162">
      <w:pPr>
        <w:rPr>
          <w:rFonts w:ascii="宋体" w:hAnsi="宋体" w:cs="宋体"/>
          <w:b/>
          <w:color w:val="auto"/>
          <w:sz w:val="36"/>
        </w:rPr>
      </w:pPr>
    </w:p>
    <w:p w14:paraId="0E6BBCD3">
      <w:pPr>
        <w:pStyle w:val="7"/>
        <w:rPr>
          <w:color w:val="auto"/>
        </w:rPr>
      </w:pPr>
    </w:p>
    <w:p w14:paraId="6525B897">
      <w:pPr>
        <w:rPr>
          <w:color w:val="auto"/>
        </w:rPr>
      </w:pPr>
    </w:p>
    <w:p w14:paraId="2C1081EC">
      <w:pPr>
        <w:rPr>
          <w:color w:val="auto"/>
        </w:rPr>
      </w:pPr>
    </w:p>
    <w:p w14:paraId="69047B46">
      <w:pPr>
        <w:rPr>
          <w:color w:val="auto"/>
        </w:rPr>
      </w:pPr>
    </w:p>
    <w:p w14:paraId="480FE434">
      <w:pPr>
        <w:rPr>
          <w:color w:val="auto"/>
        </w:rPr>
      </w:pPr>
    </w:p>
    <w:p w14:paraId="2CA711BD">
      <w:pPr>
        <w:pStyle w:val="37"/>
        <w:ind w:left="0"/>
        <w:rPr>
          <w:rFonts w:ascii="宋体" w:hAnsi="宋体" w:cs="宋体"/>
          <w:color w:val="auto"/>
        </w:rPr>
      </w:pPr>
    </w:p>
    <w:p w14:paraId="7B1A4536">
      <w:pPr>
        <w:spacing w:line="800" w:lineRule="exact"/>
        <w:jc w:val="center"/>
        <w:rPr>
          <w:rFonts w:hint="eastAsia" w:ascii="宋体" w:hAnsi="宋体" w:eastAsia="宋体" w:cs="宋体"/>
          <w:b/>
          <w:color w:val="auto"/>
          <w:sz w:val="36"/>
          <w:szCs w:val="36"/>
          <w:lang w:eastAsia="zh-CN"/>
        </w:rPr>
      </w:pPr>
      <w:r>
        <w:rPr>
          <w:rFonts w:hint="eastAsia" w:ascii="宋体" w:hAnsi="宋体" w:cs="宋体"/>
          <w:b/>
          <w:color w:val="auto"/>
          <w:sz w:val="36"/>
          <w:szCs w:val="36"/>
        </w:rPr>
        <w:t>采购人：</w:t>
      </w:r>
      <w:r>
        <w:rPr>
          <w:rFonts w:hint="eastAsia" w:ascii="宋体" w:hAnsi="宋体" w:cs="宋体"/>
          <w:b/>
          <w:color w:val="auto"/>
          <w:sz w:val="36"/>
          <w:szCs w:val="36"/>
          <w:lang w:eastAsia="zh-CN"/>
        </w:rPr>
        <w:t>广东省北江监狱</w:t>
      </w:r>
    </w:p>
    <w:p w14:paraId="7A497F86">
      <w:pPr>
        <w:spacing w:line="800" w:lineRule="exact"/>
        <w:jc w:val="center"/>
        <w:rPr>
          <w:rFonts w:ascii="宋体" w:hAnsi="宋体" w:cs="宋体"/>
          <w:b/>
          <w:color w:val="auto"/>
          <w:sz w:val="36"/>
        </w:rPr>
      </w:pPr>
      <w:r>
        <w:rPr>
          <w:rFonts w:hint="eastAsia" w:ascii="宋体" w:hAnsi="宋体" w:cs="宋体"/>
          <w:b/>
          <w:color w:val="auto"/>
          <w:sz w:val="36"/>
        </w:rPr>
        <w:t>采购代理机构：韶关市君信招标代理有限公司</w:t>
      </w:r>
    </w:p>
    <w:p w14:paraId="3422CBF9">
      <w:pPr>
        <w:jc w:val="center"/>
        <w:rPr>
          <w:rFonts w:ascii="宋体" w:hAnsi="宋体" w:cs="宋体"/>
          <w:color w:val="auto"/>
          <w:szCs w:val="21"/>
        </w:rPr>
        <w:sectPr>
          <w:headerReference r:id="rId3" w:type="first"/>
          <w:footerReference r:id="rId4" w:type="default"/>
          <w:type w:val="continuous"/>
          <w:pgSz w:w="11906" w:h="16838"/>
          <w:pgMar w:top="1134" w:right="1134" w:bottom="1134" w:left="1134" w:header="737" w:footer="737" w:gutter="0"/>
          <w:pgBorders>
            <w:top w:val="none" w:sz="0" w:space="0"/>
            <w:left w:val="none" w:sz="0" w:space="0"/>
            <w:bottom w:val="none" w:sz="0" w:space="0"/>
            <w:right w:val="none" w:sz="0" w:space="0"/>
          </w:pgBorders>
          <w:pgNumType w:fmt="decimal"/>
          <w:cols w:space="0" w:num="1"/>
          <w:titlePg/>
          <w:docGrid w:type="lines" w:linePitch="312" w:charSpace="0"/>
        </w:sectPr>
      </w:pPr>
    </w:p>
    <w:p w14:paraId="150337A5">
      <w:pPr>
        <w:pStyle w:val="68"/>
        <w:rPr>
          <w:color w:val="auto"/>
        </w:rPr>
      </w:pPr>
    </w:p>
    <w:p w14:paraId="3723627B">
      <w:pPr>
        <w:pStyle w:val="68"/>
        <w:rPr>
          <w:color w:val="auto"/>
        </w:rPr>
      </w:pPr>
    </w:p>
    <w:p w14:paraId="695D9764">
      <w:pPr>
        <w:jc w:val="center"/>
        <w:rPr>
          <w:rFonts w:ascii="宋体" w:hAnsi="宋体" w:cs="宋体"/>
          <w:color w:val="auto"/>
          <w:sz w:val="36"/>
          <w:szCs w:val="36"/>
        </w:rPr>
      </w:pPr>
      <w:r>
        <w:rPr>
          <w:rFonts w:hint="eastAsia" w:ascii="宋体" w:hAnsi="宋体" w:cs="宋体"/>
          <w:color w:val="auto"/>
          <w:sz w:val="36"/>
          <w:szCs w:val="36"/>
        </w:rPr>
        <w:t>温馨提示</w:t>
      </w:r>
      <w:r>
        <w:rPr>
          <w:rFonts w:hint="eastAsia" w:ascii="宋体" w:hAnsi="宋体" w:cs="宋体"/>
          <w:b/>
          <w:color w:val="auto"/>
          <w:sz w:val="32"/>
          <w:szCs w:val="32"/>
        </w:rPr>
        <w:t>：</w:t>
      </w:r>
      <w:r>
        <w:rPr>
          <w:rFonts w:hint="eastAsia" w:ascii="宋体" w:hAnsi="宋体" w:cs="宋体"/>
          <w:color w:val="auto"/>
          <w:sz w:val="36"/>
          <w:szCs w:val="36"/>
        </w:rPr>
        <w:t>供应商投标注意事项</w:t>
      </w:r>
    </w:p>
    <w:p w14:paraId="0F7F9654">
      <w:pPr>
        <w:spacing w:line="360" w:lineRule="exact"/>
        <w:jc w:val="center"/>
        <w:rPr>
          <w:rFonts w:ascii="宋体" w:hAnsi="宋体" w:cs="宋体"/>
          <w:color w:val="auto"/>
          <w:kern w:val="16"/>
          <w:sz w:val="24"/>
          <w:szCs w:val="28"/>
        </w:rPr>
      </w:pPr>
    </w:p>
    <w:p w14:paraId="6661762B">
      <w:pPr>
        <w:adjustRightInd w:val="0"/>
        <w:snapToGrid w:val="0"/>
        <w:spacing w:line="600" w:lineRule="exact"/>
        <w:ind w:left="210" w:leftChars="100" w:right="210" w:rightChars="100" w:firstLine="420" w:firstLineChars="200"/>
        <w:rPr>
          <w:rFonts w:ascii="宋体" w:hAnsi="宋体" w:cs="宋体"/>
          <w:color w:val="auto"/>
          <w:szCs w:val="21"/>
        </w:rPr>
      </w:pPr>
      <w:r>
        <w:rPr>
          <w:rFonts w:hint="eastAsia" w:ascii="宋体" w:hAnsi="宋体" w:cs="宋体"/>
          <w:color w:val="auto"/>
          <w:szCs w:val="21"/>
        </w:rPr>
        <w:t>一、响应文件提交时间为投标</w:t>
      </w:r>
      <w:r>
        <w:rPr>
          <w:rFonts w:hint="eastAsia" w:ascii="宋体" w:hAnsi="宋体" w:cs="宋体"/>
          <w:color w:val="auto"/>
          <w:szCs w:val="21"/>
          <w:lang w:eastAsia="zh-CN"/>
        </w:rPr>
        <w:t>（</w:t>
      </w:r>
      <w:r>
        <w:rPr>
          <w:rFonts w:hint="eastAsia" w:ascii="宋体" w:hAnsi="宋体" w:cs="宋体"/>
          <w:color w:val="auto"/>
          <w:szCs w:val="21"/>
          <w:lang w:val="en-US" w:eastAsia="zh-CN"/>
        </w:rPr>
        <w:t>响应</w:t>
      </w:r>
      <w:r>
        <w:rPr>
          <w:rFonts w:hint="eastAsia" w:ascii="宋体" w:hAnsi="宋体" w:cs="宋体"/>
          <w:color w:val="auto"/>
          <w:szCs w:val="21"/>
          <w:lang w:eastAsia="zh-CN"/>
        </w:rPr>
        <w:t>）</w:t>
      </w:r>
      <w:r>
        <w:rPr>
          <w:rFonts w:hint="eastAsia" w:ascii="宋体" w:hAnsi="宋体" w:cs="宋体"/>
          <w:color w:val="auto"/>
          <w:szCs w:val="21"/>
        </w:rPr>
        <w:t>截止时间前30分钟内，投标</w:t>
      </w:r>
      <w:r>
        <w:rPr>
          <w:rFonts w:hint="eastAsia" w:ascii="宋体" w:hAnsi="宋体" w:cs="宋体"/>
          <w:color w:val="auto"/>
          <w:szCs w:val="21"/>
          <w:lang w:eastAsia="zh-CN"/>
        </w:rPr>
        <w:t>（</w:t>
      </w:r>
      <w:r>
        <w:rPr>
          <w:rFonts w:hint="eastAsia" w:ascii="宋体" w:hAnsi="宋体" w:cs="宋体"/>
          <w:color w:val="auto"/>
          <w:szCs w:val="21"/>
          <w:lang w:val="en-US" w:eastAsia="zh-CN"/>
        </w:rPr>
        <w:t>响应</w:t>
      </w:r>
      <w:r>
        <w:rPr>
          <w:rFonts w:hint="eastAsia" w:ascii="宋体" w:hAnsi="宋体" w:cs="宋体"/>
          <w:color w:val="auto"/>
          <w:szCs w:val="21"/>
          <w:lang w:eastAsia="zh-CN"/>
        </w:rPr>
        <w:t>）</w:t>
      </w:r>
      <w:r>
        <w:rPr>
          <w:rFonts w:hint="eastAsia" w:ascii="宋体" w:hAnsi="宋体" w:cs="宋体"/>
          <w:color w:val="auto"/>
          <w:szCs w:val="21"/>
        </w:rPr>
        <w:t>截止时间一到，将不接收任何响应文件，因此，请适当提前到达。</w:t>
      </w:r>
    </w:p>
    <w:p w14:paraId="34D8C755">
      <w:pPr>
        <w:adjustRightInd w:val="0"/>
        <w:snapToGrid w:val="0"/>
        <w:spacing w:line="600" w:lineRule="exact"/>
        <w:ind w:left="210" w:leftChars="100" w:right="210" w:rightChars="100" w:firstLine="420" w:firstLineChars="200"/>
        <w:rPr>
          <w:rFonts w:ascii="宋体" w:hAnsi="宋体" w:cs="宋体"/>
          <w:color w:val="auto"/>
          <w:szCs w:val="21"/>
        </w:rPr>
      </w:pPr>
      <w:r>
        <w:rPr>
          <w:rFonts w:hint="eastAsia" w:ascii="宋体" w:hAnsi="宋体" w:cs="宋体"/>
          <w:color w:val="auto"/>
          <w:szCs w:val="21"/>
        </w:rPr>
        <w:t>二、供应商参与重招的采购项目时，应当按流程重新</w:t>
      </w:r>
      <w:r>
        <w:rPr>
          <w:rFonts w:hint="eastAsia" w:ascii="宋体" w:hAnsi="宋体" w:cs="宋体"/>
          <w:color w:val="auto"/>
          <w:szCs w:val="21"/>
          <w:lang w:val="en-US" w:eastAsia="zh-CN"/>
        </w:rPr>
        <w:t>获取采购文件</w:t>
      </w:r>
      <w:r>
        <w:rPr>
          <w:rFonts w:hint="eastAsia" w:ascii="宋体" w:hAnsi="宋体" w:cs="宋体"/>
          <w:color w:val="auto"/>
          <w:szCs w:val="21"/>
        </w:rPr>
        <w:t>。</w:t>
      </w:r>
    </w:p>
    <w:p w14:paraId="1D53D257">
      <w:pPr>
        <w:adjustRightInd w:val="0"/>
        <w:snapToGrid w:val="0"/>
        <w:spacing w:line="600" w:lineRule="exact"/>
        <w:ind w:left="210" w:leftChars="100" w:right="210" w:rightChars="100" w:firstLine="420" w:firstLineChars="200"/>
        <w:rPr>
          <w:rFonts w:ascii="宋体" w:hAnsi="宋体" w:cs="宋体"/>
          <w:color w:val="auto"/>
          <w:szCs w:val="21"/>
        </w:rPr>
      </w:pPr>
      <w:r>
        <w:rPr>
          <w:rFonts w:hint="eastAsia" w:ascii="宋体" w:hAnsi="宋体" w:cs="宋体"/>
          <w:color w:val="auto"/>
          <w:szCs w:val="21"/>
        </w:rPr>
        <w:t>三、供应商参与分包项目的多个分包时，</w:t>
      </w:r>
      <w:r>
        <w:rPr>
          <w:rFonts w:hint="eastAsia" w:ascii="宋体" w:hAnsi="宋体" w:cs="宋体"/>
          <w:color w:val="auto"/>
          <w:szCs w:val="21"/>
          <w:lang w:eastAsia="zh-CN"/>
        </w:rPr>
        <w:t>响应时</w:t>
      </w:r>
      <w:r>
        <w:rPr>
          <w:rFonts w:hint="eastAsia" w:ascii="宋体" w:hAnsi="宋体" w:cs="宋体"/>
          <w:color w:val="auto"/>
          <w:szCs w:val="21"/>
        </w:rPr>
        <w:t>应当仔细检查分包号，分包号与分包名称必须对应。</w:t>
      </w:r>
    </w:p>
    <w:p w14:paraId="7ADBD02C">
      <w:pPr>
        <w:adjustRightInd w:val="0"/>
        <w:snapToGrid w:val="0"/>
        <w:spacing w:line="600" w:lineRule="exact"/>
        <w:ind w:left="210" w:leftChars="100" w:right="210" w:rightChars="100" w:firstLine="420" w:firstLineChars="200"/>
        <w:rPr>
          <w:rFonts w:ascii="宋体" w:hAnsi="宋体" w:cs="宋体"/>
          <w:color w:val="auto"/>
          <w:szCs w:val="21"/>
        </w:rPr>
      </w:pPr>
      <w:r>
        <w:rPr>
          <w:rFonts w:hint="eastAsia" w:ascii="宋体" w:hAnsi="宋体" w:cs="宋体"/>
          <w:color w:val="auto"/>
          <w:szCs w:val="21"/>
        </w:rPr>
        <w:t>四、供应商参加开标会的投标代表须与响应文件内“法定代表人证明及授权书”中授权代表一致。投标代表应携带本人身份证原件参加开标会，便于开标时核实身份。</w:t>
      </w:r>
    </w:p>
    <w:p w14:paraId="531516A6">
      <w:pPr>
        <w:adjustRightInd w:val="0"/>
        <w:snapToGrid w:val="0"/>
        <w:spacing w:line="600" w:lineRule="exact"/>
        <w:ind w:left="210" w:leftChars="100" w:right="210" w:rightChars="100" w:firstLine="420" w:firstLineChars="200"/>
        <w:rPr>
          <w:rFonts w:ascii="宋体" w:hAnsi="宋体" w:cs="宋体"/>
          <w:color w:val="auto"/>
          <w:szCs w:val="21"/>
        </w:rPr>
      </w:pPr>
      <w:r>
        <w:rPr>
          <w:rFonts w:hint="eastAsia" w:ascii="宋体" w:hAnsi="宋体" w:cs="宋体"/>
          <w:color w:val="auto"/>
          <w:szCs w:val="21"/>
        </w:rPr>
        <w:t>五、请仔细检查响应文件是否已按顺序编制页码，是否按磋商文件要求盖章、签名、签署日期。</w:t>
      </w:r>
    </w:p>
    <w:p w14:paraId="6D6ECE18">
      <w:pPr>
        <w:adjustRightInd w:val="0"/>
        <w:snapToGrid w:val="0"/>
        <w:spacing w:line="600" w:lineRule="exact"/>
        <w:ind w:left="210" w:leftChars="100" w:right="210" w:rightChars="100" w:firstLine="420" w:firstLineChars="200"/>
        <w:rPr>
          <w:rFonts w:ascii="宋体" w:hAnsi="宋体" w:cs="宋体"/>
          <w:color w:val="auto"/>
          <w:szCs w:val="21"/>
        </w:rPr>
      </w:pPr>
      <w:r>
        <w:rPr>
          <w:rFonts w:hint="eastAsia" w:ascii="宋体" w:hAnsi="宋体" w:cs="宋体"/>
          <w:color w:val="auto"/>
          <w:szCs w:val="21"/>
        </w:rPr>
        <w:t>六、采购代理机构不对供应商</w:t>
      </w:r>
      <w:r>
        <w:rPr>
          <w:rFonts w:hint="eastAsia" w:ascii="宋体" w:hAnsi="宋体" w:cs="宋体"/>
          <w:color w:val="auto"/>
          <w:szCs w:val="21"/>
          <w:lang w:eastAsia="zh-CN"/>
        </w:rPr>
        <w:t>响应时</w:t>
      </w:r>
      <w:r>
        <w:rPr>
          <w:rFonts w:hint="eastAsia" w:ascii="宋体" w:hAnsi="宋体" w:cs="宋体"/>
          <w:color w:val="auto"/>
          <w:szCs w:val="21"/>
        </w:rPr>
        <w:t>提交的相关资料的真实性负责，如供应商发现相关资料被盗用或复制，或出现同一供应商由两名或以上授权代表获取采购文件或投标的，应遵循法律途径解决，追究侵权者责任。对一家供应商递交两份投标/响应文件的，</w:t>
      </w:r>
      <w:r>
        <w:rPr>
          <w:rFonts w:hint="eastAsia" w:ascii="宋体" w:hAnsi="宋体" w:cs="宋体"/>
          <w:color w:val="auto"/>
          <w:szCs w:val="21"/>
          <w:lang w:val="en-US" w:eastAsia="zh-CN"/>
        </w:rPr>
        <w:t>磋商小组</w:t>
      </w:r>
      <w:r>
        <w:rPr>
          <w:rFonts w:hint="eastAsia" w:ascii="宋体" w:hAnsi="宋体" w:cs="宋体"/>
          <w:color w:val="auto"/>
          <w:szCs w:val="21"/>
        </w:rPr>
        <w:t>将按采购文件中有关无效投标的规定处理。</w:t>
      </w:r>
    </w:p>
    <w:p w14:paraId="70CC83F1">
      <w:pPr>
        <w:adjustRightInd w:val="0"/>
        <w:snapToGrid w:val="0"/>
        <w:spacing w:line="600" w:lineRule="exact"/>
        <w:ind w:left="210" w:leftChars="100" w:right="210" w:rightChars="100" w:firstLine="420" w:firstLineChars="200"/>
        <w:rPr>
          <w:rFonts w:ascii="宋体" w:hAnsi="宋体" w:cs="宋体"/>
          <w:color w:val="auto"/>
          <w:szCs w:val="21"/>
        </w:rPr>
      </w:pPr>
      <w:r>
        <w:rPr>
          <w:rFonts w:hint="eastAsia" w:ascii="宋体" w:hAnsi="宋体" w:cs="宋体"/>
          <w:color w:val="auto"/>
          <w:szCs w:val="21"/>
        </w:rPr>
        <w:t>七、为了提高效率，节约社会交易成本与时间，希望</w:t>
      </w:r>
      <w:r>
        <w:rPr>
          <w:rFonts w:hint="eastAsia" w:ascii="宋体" w:hAnsi="宋体" w:cs="宋体"/>
          <w:color w:val="auto"/>
          <w:szCs w:val="21"/>
          <w:lang w:val="en-US" w:eastAsia="zh-CN"/>
        </w:rPr>
        <w:t>获取采购</w:t>
      </w:r>
      <w:r>
        <w:rPr>
          <w:rFonts w:hint="eastAsia" w:ascii="宋体" w:hAnsi="宋体" w:cs="宋体"/>
          <w:color w:val="auto"/>
          <w:szCs w:val="21"/>
        </w:rPr>
        <w:t>文件而决定不参加本次投标的供应商，在响应文件递交截止时间的3日前，按《磋商邀请函》中的联系方式，以书面形式告知我公司。</w:t>
      </w:r>
    </w:p>
    <w:p w14:paraId="0DCE5BCC">
      <w:pPr>
        <w:adjustRightInd w:val="0"/>
        <w:snapToGrid w:val="0"/>
        <w:spacing w:line="520" w:lineRule="exact"/>
        <w:ind w:firstLine="420" w:firstLineChars="200"/>
        <w:rPr>
          <w:rFonts w:ascii="宋体" w:hAnsi="宋体" w:cs="宋体"/>
          <w:color w:val="auto"/>
          <w:szCs w:val="21"/>
        </w:rPr>
      </w:pPr>
    </w:p>
    <w:p w14:paraId="142A8E49">
      <w:pPr>
        <w:pStyle w:val="29"/>
        <w:bidi w:val="0"/>
        <w:sectPr>
          <w:footerReference r:id="rId6" w:type="first"/>
          <w:footerReference r:id="rId5" w:type="default"/>
          <w:pgSz w:w="11906" w:h="16838"/>
          <w:pgMar w:top="1134" w:right="1134" w:bottom="1134" w:left="1134" w:header="737" w:footer="737" w:gutter="0"/>
          <w:pgBorders>
            <w:top w:val="none" w:sz="0" w:space="0"/>
            <w:left w:val="none" w:sz="0" w:space="0"/>
            <w:bottom w:val="none" w:sz="0" w:space="0"/>
            <w:right w:val="none" w:sz="0" w:space="0"/>
          </w:pgBorders>
          <w:pgNumType w:fmt="decimal" w:start="1"/>
          <w:cols w:space="0" w:num="1"/>
          <w:docGrid w:type="lines" w:linePitch="312" w:charSpace="0"/>
        </w:sectPr>
      </w:pPr>
    </w:p>
    <w:p w14:paraId="67D2D1DC"/>
    <w:p w14:paraId="49C8548E">
      <w:pPr>
        <w:snapToGrid w:val="0"/>
        <w:spacing w:line="360" w:lineRule="auto"/>
        <w:jc w:val="center"/>
        <w:rPr>
          <w:rFonts w:ascii="宋体" w:hAnsi="宋体" w:cs="宋体"/>
          <w:b w:val="0"/>
          <w:bCs/>
          <w:color w:val="auto"/>
          <w:sz w:val="40"/>
          <w:szCs w:val="40"/>
        </w:rPr>
      </w:pPr>
      <w:r>
        <w:rPr>
          <w:rFonts w:hint="eastAsia" w:ascii="宋体" w:hAnsi="宋体" w:cs="宋体"/>
          <w:b w:val="0"/>
          <w:bCs/>
          <w:color w:val="auto"/>
          <w:sz w:val="40"/>
          <w:szCs w:val="40"/>
        </w:rPr>
        <w:t>目  录</w:t>
      </w:r>
    </w:p>
    <w:p w14:paraId="7219456A">
      <w:pPr>
        <w:pStyle w:val="31"/>
        <w:keepNext w:val="0"/>
        <w:keepLines w:val="0"/>
        <w:pageBreakBefore w:val="0"/>
        <w:widowControl w:val="0"/>
        <w:tabs>
          <w:tab w:val="right" w:leader="dot" w:pos="9638"/>
          <w:tab w:val="clear" w:pos="9344"/>
        </w:tabs>
        <w:kinsoku/>
        <w:wordWrap/>
        <w:overflowPunct/>
        <w:topLinePunct w:val="0"/>
        <w:autoSpaceDE/>
        <w:autoSpaceDN/>
        <w:bidi w:val="0"/>
        <w:adjustRightInd/>
        <w:snapToGrid/>
        <w:spacing w:line="480" w:lineRule="auto"/>
        <w:textAlignment w:val="auto"/>
        <w:rPr>
          <w:b w:val="0"/>
          <w:bCs/>
          <w:sz w:val="28"/>
          <w:szCs w:val="28"/>
        </w:rPr>
      </w:pPr>
      <w:r>
        <w:rPr>
          <w:rFonts w:hint="eastAsia" w:cs="宋体"/>
          <w:b w:val="0"/>
          <w:bCs w:val="0"/>
          <w:color w:val="auto"/>
          <w:sz w:val="28"/>
          <w:szCs w:val="28"/>
        </w:rPr>
        <w:fldChar w:fldCharType="begin"/>
      </w:r>
      <w:r>
        <w:rPr>
          <w:rStyle w:val="53"/>
          <w:rFonts w:hint="eastAsia" w:cs="宋体"/>
          <w:b w:val="0"/>
          <w:bCs w:val="0"/>
          <w:color w:val="auto"/>
          <w:sz w:val="28"/>
          <w:szCs w:val="28"/>
        </w:rPr>
        <w:instrText xml:space="preserve"> TOC \o "1-2" \h \z </w:instrText>
      </w:r>
      <w:r>
        <w:rPr>
          <w:rFonts w:hint="eastAsia" w:cs="宋体"/>
          <w:b w:val="0"/>
          <w:bCs w:val="0"/>
          <w:color w:val="auto"/>
          <w:sz w:val="28"/>
          <w:szCs w:val="28"/>
        </w:rPr>
        <w:fldChar w:fldCharType="separate"/>
      </w:r>
      <w:r>
        <w:rPr>
          <w:rFonts w:hint="eastAsia" w:cs="宋体"/>
          <w:b w:val="0"/>
          <w:bCs/>
          <w:color w:val="auto"/>
          <w:sz w:val="28"/>
          <w:szCs w:val="32"/>
        </w:rPr>
        <w:fldChar w:fldCharType="begin"/>
      </w:r>
      <w:r>
        <w:rPr>
          <w:rFonts w:hint="eastAsia" w:cs="宋体"/>
          <w:b w:val="0"/>
          <w:bCs/>
          <w:sz w:val="28"/>
          <w:szCs w:val="32"/>
        </w:rPr>
        <w:instrText xml:space="preserve"> HYPERLINK \l _Toc26809 </w:instrText>
      </w:r>
      <w:r>
        <w:rPr>
          <w:rFonts w:hint="eastAsia" w:cs="宋体"/>
          <w:b w:val="0"/>
          <w:bCs/>
          <w:sz w:val="28"/>
          <w:szCs w:val="32"/>
        </w:rPr>
        <w:fldChar w:fldCharType="separate"/>
      </w:r>
      <w:r>
        <w:rPr>
          <w:rFonts w:hint="default" w:ascii="宋体" w:hAnsi="宋体" w:cs="宋体"/>
          <w:b w:val="0"/>
          <w:bCs/>
          <w:sz w:val="28"/>
          <w:szCs w:val="40"/>
        </w:rPr>
        <w:t xml:space="preserve">第一章 </w:t>
      </w:r>
      <w:r>
        <w:rPr>
          <w:rFonts w:hint="eastAsia" w:ascii="宋体" w:hAnsi="宋体" w:cs="宋体"/>
          <w:b w:val="0"/>
          <w:bCs/>
          <w:sz w:val="28"/>
          <w:szCs w:val="40"/>
        </w:rPr>
        <w:t>磋商邀请函</w:t>
      </w:r>
      <w:r>
        <w:rPr>
          <w:b w:val="0"/>
          <w:bCs/>
          <w:sz w:val="28"/>
          <w:szCs w:val="28"/>
        </w:rPr>
        <w:tab/>
      </w:r>
      <w:r>
        <w:rPr>
          <w:b w:val="0"/>
          <w:bCs/>
          <w:sz w:val="28"/>
          <w:szCs w:val="28"/>
        </w:rPr>
        <w:fldChar w:fldCharType="begin"/>
      </w:r>
      <w:r>
        <w:rPr>
          <w:b w:val="0"/>
          <w:bCs/>
          <w:sz w:val="28"/>
          <w:szCs w:val="28"/>
        </w:rPr>
        <w:instrText xml:space="preserve"> PAGEREF _Toc26809 \h </w:instrText>
      </w:r>
      <w:r>
        <w:rPr>
          <w:b w:val="0"/>
          <w:bCs/>
          <w:sz w:val="28"/>
          <w:szCs w:val="28"/>
        </w:rPr>
        <w:fldChar w:fldCharType="separate"/>
      </w:r>
      <w:r>
        <w:rPr>
          <w:b w:val="0"/>
          <w:bCs/>
          <w:sz w:val="28"/>
          <w:szCs w:val="28"/>
        </w:rPr>
        <w:t>3</w:t>
      </w:r>
      <w:r>
        <w:rPr>
          <w:b w:val="0"/>
          <w:bCs/>
          <w:sz w:val="28"/>
          <w:szCs w:val="28"/>
        </w:rPr>
        <w:fldChar w:fldCharType="end"/>
      </w:r>
      <w:r>
        <w:rPr>
          <w:rFonts w:hint="eastAsia" w:cs="宋体"/>
          <w:b w:val="0"/>
          <w:bCs/>
          <w:color w:val="auto"/>
          <w:sz w:val="28"/>
          <w:szCs w:val="32"/>
        </w:rPr>
        <w:fldChar w:fldCharType="end"/>
      </w:r>
    </w:p>
    <w:p w14:paraId="6D1EAEE9">
      <w:pPr>
        <w:pStyle w:val="31"/>
        <w:keepNext w:val="0"/>
        <w:keepLines w:val="0"/>
        <w:pageBreakBefore w:val="0"/>
        <w:widowControl w:val="0"/>
        <w:tabs>
          <w:tab w:val="right" w:leader="dot" w:pos="9638"/>
          <w:tab w:val="clear" w:pos="9344"/>
        </w:tabs>
        <w:kinsoku/>
        <w:wordWrap/>
        <w:overflowPunct/>
        <w:topLinePunct w:val="0"/>
        <w:autoSpaceDE/>
        <w:autoSpaceDN/>
        <w:bidi w:val="0"/>
        <w:adjustRightInd/>
        <w:snapToGrid/>
        <w:spacing w:line="480" w:lineRule="auto"/>
        <w:textAlignment w:val="auto"/>
        <w:rPr>
          <w:b w:val="0"/>
          <w:bCs/>
          <w:sz w:val="28"/>
          <w:szCs w:val="28"/>
        </w:rPr>
      </w:pPr>
      <w:r>
        <w:rPr>
          <w:rFonts w:hint="eastAsia" w:cs="宋体"/>
          <w:b w:val="0"/>
          <w:bCs/>
          <w:color w:val="auto"/>
          <w:sz w:val="28"/>
          <w:szCs w:val="32"/>
        </w:rPr>
        <w:fldChar w:fldCharType="begin"/>
      </w:r>
      <w:r>
        <w:rPr>
          <w:rFonts w:hint="eastAsia" w:cs="宋体"/>
          <w:b w:val="0"/>
          <w:bCs/>
          <w:sz w:val="28"/>
          <w:szCs w:val="32"/>
        </w:rPr>
        <w:instrText xml:space="preserve"> HYPERLINK \l _Toc1411 </w:instrText>
      </w:r>
      <w:r>
        <w:rPr>
          <w:rFonts w:hint="eastAsia" w:cs="宋体"/>
          <w:b w:val="0"/>
          <w:bCs/>
          <w:sz w:val="28"/>
          <w:szCs w:val="32"/>
        </w:rPr>
        <w:fldChar w:fldCharType="separate"/>
      </w:r>
      <w:r>
        <w:rPr>
          <w:rFonts w:hint="default" w:ascii="宋体" w:hAnsi="宋体" w:cs="宋体"/>
          <w:b w:val="0"/>
          <w:bCs/>
          <w:sz w:val="28"/>
          <w:szCs w:val="40"/>
        </w:rPr>
        <w:t xml:space="preserve">第二章 </w:t>
      </w:r>
      <w:r>
        <w:rPr>
          <w:rFonts w:hint="eastAsia" w:ascii="宋体" w:hAnsi="宋体" w:cs="宋体"/>
          <w:b w:val="0"/>
          <w:bCs/>
          <w:sz w:val="28"/>
          <w:szCs w:val="40"/>
        </w:rPr>
        <w:t>用户需求书</w:t>
      </w:r>
      <w:r>
        <w:rPr>
          <w:b w:val="0"/>
          <w:bCs/>
          <w:sz w:val="28"/>
          <w:szCs w:val="28"/>
        </w:rPr>
        <w:tab/>
      </w:r>
      <w:r>
        <w:rPr>
          <w:b w:val="0"/>
          <w:bCs/>
          <w:sz w:val="28"/>
          <w:szCs w:val="28"/>
        </w:rPr>
        <w:fldChar w:fldCharType="begin"/>
      </w:r>
      <w:r>
        <w:rPr>
          <w:b w:val="0"/>
          <w:bCs/>
          <w:sz w:val="28"/>
          <w:szCs w:val="28"/>
        </w:rPr>
        <w:instrText xml:space="preserve"> PAGEREF _Toc1411 \h </w:instrText>
      </w:r>
      <w:r>
        <w:rPr>
          <w:b w:val="0"/>
          <w:bCs/>
          <w:sz w:val="28"/>
          <w:szCs w:val="28"/>
        </w:rPr>
        <w:fldChar w:fldCharType="separate"/>
      </w:r>
      <w:r>
        <w:rPr>
          <w:b w:val="0"/>
          <w:bCs/>
          <w:sz w:val="28"/>
          <w:szCs w:val="28"/>
        </w:rPr>
        <w:t>6</w:t>
      </w:r>
      <w:r>
        <w:rPr>
          <w:b w:val="0"/>
          <w:bCs/>
          <w:sz w:val="28"/>
          <w:szCs w:val="28"/>
        </w:rPr>
        <w:fldChar w:fldCharType="end"/>
      </w:r>
      <w:r>
        <w:rPr>
          <w:rFonts w:hint="eastAsia" w:cs="宋体"/>
          <w:b w:val="0"/>
          <w:bCs/>
          <w:color w:val="auto"/>
          <w:sz w:val="28"/>
          <w:szCs w:val="32"/>
        </w:rPr>
        <w:fldChar w:fldCharType="end"/>
      </w:r>
    </w:p>
    <w:p w14:paraId="7300F451">
      <w:pPr>
        <w:pStyle w:val="31"/>
        <w:keepNext w:val="0"/>
        <w:keepLines w:val="0"/>
        <w:pageBreakBefore w:val="0"/>
        <w:widowControl w:val="0"/>
        <w:tabs>
          <w:tab w:val="right" w:leader="dot" w:pos="9638"/>
          <w:tab w:val="clear" w:pos="9344"/>
        </w:tabs>
        <w:kinsoku/>
        <w:wordWrap/>
        <w:overflowPunct/>
        <w:topLinePunct w:val="0"/>
        <w:autoSpaceDE/>
        <w:autoSpaceDN/>
        <w:bidi w:val="0"/>
        <w:adjustRightInd/>
        <w:snapToGrid/>
        <w:spacing w:line="480" w:lineRule="auto"/>
        <w:textAlignment w:val="auto"/>
        <w:rPr>
          <w:b w:val="0"/>
          <w:bCs/>
          <w:sz w:val="28"/>
          <w:szCs w:val="28"/>
        </w:rPr>
      </w:pPr>
      <w:r>
        <w:rPr>
          <w:rFonts w:hint="eastAsia" w:cs="宋体"/>
          <w:b w:val="0"/>
          <w:bCs/>
          <w:color w:val="auto"/>
          <w:sz w:val="28"/>
          <w:szCs w:val="32"/>
        </w:rPr>
        <w:fldChar w:fldCharType="begin"/>
      </w:r>
      <w:r>
        <w:rPr>
          <w:rFonts w:hint="eastAsia" w:cs="宋体"/>
          <w:b w:val="0"/>
          <w:bCs/>
          <w:sz w:val="28"/>
          <w:szCs w:val="32"/>
        </w:rPr>
        <w:instrText xml:space="preserve"> HYPERLINK \l _Toc31250 </w:instrText>
      </w:r>
      <w:r>
        <w:rPr>
          <w:rFonts w:hint="eastAsia" w:cs="宋体"/>
          <w:b w:val="0"/>
          <w:bCs/>
          <w:sz w:val="28"/>
          <w:szCs w:val="32"/>
        </w:rPr>
        <w:fldChar w:fldCharType="separate"/>
      </w:r>
      <w:r>
        <w:rPr>
          <w:rFonts w:hint="eastAsia"/>
          <w:b w:val="0"/>
          <w:bCs/>
          <w:sz w:val="28"/>
          <w:szCs w:val="28"/>
        </w:rPr>
        <w:t>第三章 供应商须知</w:t>
      </w:r>
      <w:r>
        <w:rPr>
          <w:b w:val="0"/>
          <w:bCs/>
          <w:sz w:val="28"/>
          <w:szCs w:val="28"/>
        </w:rPr>
        <w:tab/>
      </w:r>
      <w:r>
        <w:rPr>
          <w:b w:val="0"/>
          <w:bCs/>
          <w:sz w:val="28"/>
          <w:szCs w:val="28"/>
        </w:rPr>
        <w:fldChar w:fldCharType="begin"/>
      </w:r>
      <w:r>
        <w:rPr>
          <w:b w:val="0"/>
          <w:bCs/>
          <w:sz w:val="28"/>
          <w:szCs w:val="28"/>
        </w:rPr>
        <w:instrText xml:space="preserve"> PAGEREF _Toc31250 \h </w:instrText>
      </w:r>
      <w:r>
        <w:rPr>
          <w:b w:val="0"/>
          <w:bCs/>
          <w:sz w:val="28"/>
          <w:szCs w:val="28"/>
        </w:rPr>
        <w:fldChar w:fldCharType="separate"/>
      </w:r>
      <w:r>
        <w:rPr>
          <w:b w:val="0"/>
          <w:bCs/>
          <w:sz w:val="28"/>
          <w:szCs w:val="28"/>
        </w:rPr>
        <w:t>11</w:t>
      </w:r>
      <w:r>
        <w:rPr>
          <w:b w:val="0"/>
          <w:bCs/>
          <w:sz w:val="28"/>
          <w:szCs w:val="28"/>
        </w:rPr>
        <w:fldChar w:fldCharType="end"/>
      </w:r>
      <w:r>
        <w:rPr>
          <w:rFonts w:hint="eastAsia" w:cs="宋体"/>
          <w:b w:val="0"/>
          <w:bCs/>
          <w:color w:val="auto"/>
          <w:sz w:val="28"/>
          <w:szCs w:val="32"/>
        </w:rPr>
        <w:fldChar w:fldCharType="end"/>
      </w:r>
    </w:p>
    <w:p w14:paraId="0C3E555D">
      <w:pPr>
        <w:pStyle w:val="31"/>
        <w:keepNext w:val="0"/>
        <w:keepLines w:val="0"/>
        <w:pageBreakBefore w:val="0"/>
        <w:widowControl w:val="0"/>
        <w:tabs>
          <w:tab w:val="right" w:leader="dot" w:pos="9638"/>
          <w:tab w:val="clear" w:pos="9344"/>
        </w:tabs>
        <w:kinsoku/>
        <w:wordWrap/>
        <w:overflowPunct/>
        <w:topLinePunct w:val="0"/>
        <w:autoSpaceDE/>
        <w:autoSpaceDN/>
        <w:bidi w:val="0"/>
        <w:adjustRightInd/>
        <w:snapToGrid/>
        <w:spacing w:line="480" w:lineRule="auto"/>
        <w:textAlignment w:val="auto"/>
        <w:rPr>
          <w:b w:val="0"/>
          <w:bCs/>
          <w:sz w:val="28"/>
          <w:szCs w:val="28"/>
        </w:rPr>
      </w:pPr>
      <w:r>
        <w:rPr>
          <w:rFonts w:hint="eastAsia" w:cs="宋体"/>
          <w:b w:val="0"/>
          <w:bCs/>
          <w:color w:val="auto"/>
          <w:sz w:val="28"/>
          <w:szCs w:val="32"/>
        </w:rPr>
        <w:fldChar w:fldCharType="begin"/>
      </w:r>
      <w:r>
        <w:rPr>
          <w:rFonts w:hint="eastAsia" w:cs="宋体"/>
          <w:b w:val="0"/>
          <w:bCs/>
          <w:sz w:val="28"/>
          <w:szCs w:val="32"/>
        </w:rPr>
        <w:instrText xml:space="preserve"> HYPERLINK \l _Toc31568 </w:instrText>
      </w:r>
      <w:r>
        <w:rPr>
          <w:rFonts w:hint="eastAsia" w:cs="宋体"/>
          <w:b w:val="0"/>
          <w:bCs/>
          <w:sz w:val="28"/>
          <w:szCs w:val="32"/>
        </w:rPr>
        <w:fldChar w:fldCharType="separate"/>
      </w:r>
      <w:r>
        <w:rPr>
          <w:rFonts w:hint="eastAsia" w:ascii="宋体" w:hAnsi="宋体" w:cs="宋体"/>
          <w:b w:val="0"/>
          <w:bCs/>
          <w:sz w:val="28"/>
          <w:szCs w:val="40"/>
        </w:rPr>
        <w:t>第四章 磋商细则</w:t>
      </w:r>
      <w:r>
        <w:rPr>
          <w:b w:val="0"/>
          <w:bCs/>
          <w:sz w:val="28"/>
          <w:szCs w:val="28"/>
        </w:rPr>
        <w:tab/>
      </w:r>
      <w:r>
        <w:rPr>
          <w:b w:val="0"/>
          <w:bCs/>
          <w:sz w:val="28"/>
          <w:szCs w:val="28"/>
        </w:rPr>
        <w:fldChar w:fldCharType="begin"/>
      </w:r>
      <w:r>
        <w:rPr>
          <w:b w:val="0"/>
          <w:bCs/>
          <w:sz w:val="28"/>
          <w:szCs w:val="28"/>
        </w:rPr>
        <w:instrText xml:space="preserve"> PAGEREF _Toc31568 \h </w:instrText>
      </w:r>
      <w:r>
        <w:rPr>
          <w:b w:val="0"/>
          <w:bCs/>
          <w:sz w:val="28"/>
          <w:szCs w:val="28"/>
        </w:rPr>
        <w:fldChar w:fldCharType="separate"/>
      </w:r>
      <w:r>
        <w:rPr>
          <w:b w:val="0"/>
          <w:bCs/>
          <w:sz w:val="28"/>
          <w:szCs w:val="28"/>
        </w:rPr>
        <w:t>19</w:t>
      </w:r>
      <w:r>
        <w:rPr>
          <w:b w:val="0"/>
          <w:bCs/>
          <w:sz w:val="28"/>
          <w:szCs w:val="28"/>
        </w:rPr>
        <w:fldChar w:fldCharType="end"/>
      </w:r>
      <w:r>
        <w:rPr>
          <w:rFonts w:hint="eastAsia" w:cs="宋体"/>
          <w:b w:val="0"/>
          <w:bCs/>
          <w:color w:val="auto"/>
          <w:sz w:val="28"/>
          <w:szCs w:val="32"/>
        </w:rPr>
        <w:fldChar w:fldCharType="end"/>
      </w:r>
    </w:p>
    <w:p w14:paraId="11FE55C5">
      <w:pPr>
        <w:pStyle w:val="31"/>
        <w:keepNext w:val="0"/>
        <w:keepLines w:val="0"/>
        <w:pageBreakBefore w:val="0"/>
        <w:widowControl w:val="0"/>
        <w:tabs>
          <w:tab w:val="right" w:leader="dot" w:pos="9638"/>
          <w:tab w:val="clear" w:pos="9344"/>
        </w:tabs>
        <w:kinsoku/>
        <w:wordWrap/>
        <w:overflowPunct/>
        <w:topLinePunct w:val="0"/>
        <w:autoSpaceDE/>
        <w:autoSpaceDN/>
        <w:bidi w:val="0"/>
        <w:adjustRightInd/>
        <w:snapToGrid/>
        <w:spacing w:line="480" w:lineRule="auto"/>
        <w:textAlignment w:val="auto"/>
        <w:rPr>
          <w:b w:val="0"/>
          <w:bCs/>
          <w:sz w:val="28"/>
          <w:szCs w:val="28"/>
        </w:rPr>
      </w:pPr>
      <w:r>
        <w:rPr>
          <w:rFonts w:hint="eastAsia" w:cs="宋体"/>
          <w:b w:val="0"/>
          <w:bCs/>
          <w:color w:val="auto"/>
          <w:sz w:val="28"/>
          <w:szCs w:val="32"/>
        </w:rPr>
        <w:fldChar w:fldCharType="begin"/>
      </w:r>
      <w:r>
        <w:rPr>
          <w:rFonts w:hint="eastAsia" w:cs="宋体"/>
          <w:b w:val="0"/>
          <w:bCs/>
          <w:sz w:val="28"/>
          <w:szCs w:val="32"/>
        </w:rPr>
        <w:instrText xml:space="preserve"> HYPERLINK \l _Toc4107 </w:instrText>
      </w:r>
      <w:r>
        <w:rPr>
          <w:rFonts w:hint="eastAsia" w:cs="宋体"/>
          <w:b w:val="0"/>
          <w:bCs/>
          <w:sz w:val="28"/>
          <w:szCs w:val="32"/>
        </w:rPr>
        <w:fldChar w:fldCharType="separate"/>
      </w:r>
      <w:r>
        <w:rPr>
          <w:rFonts w:hint="eastAsia" w:ascii="宋体" w:hAnsi="宋体" w:cs="宋体"/>
          <w:b w:val="0"/>
          <w:bCs/>
          <w:sz w:val="28"/>
          <w:szCs w:val="40"/>
        </w:rPr>
        <w:t>第五章 合同书格式</w:t>
      </w:r>
      <w:r>
        <w:rPr>
          <w:b w:val="0"/>
          <w:bCs/>
          <w:sz w:val="28"/>
          <w:szCs w:val="28"/>
        </w:rPr>
        <w:tab/>
      </w:r>
      <w:r>
        <w:rPr>
          <w:b w:val="0"/>
          <w:bCs/>
          <w:sz w:val="28"/>
          <w:szCs w:val="28"/>
        </w:rPr>
        <w:fldChar w:fldCharType="begin"/>
      </w:r>
      <w:r>
        <w:rPr>
          <w:b w:val="0"/>
          <w:bCs/>
          <w:sz w:val="28"/>
          <w:szCs w:val="28"/>
        </w:rPr>
        <w:instrText xml:space="preserve"> PAGEREF _Toc4107 \h </w:instrText>
      </w:r>
      <w:r>
        <w:rPr>
          <w:b w:val="0"/>
          <w:bCs/>
          <w:sz w:val="28"/>
          <w:szCs w:val="28"/>
        </w:rPr>
        <w:fldChar w:fldCharType="separate"/>
      </w:r>
      <w:r>
        <w:rPr>
          <w:b w:val="0"/>
          <w:bCs/>
          <w:sz w:val="28"/>
          <w:szCs w:val="28"/>
        </w:rPr>
        <w:t>28</w:t>
      </w:r>
      <w:r>
        <w:rPr>
          <w:b w:val="0"/>
          <w:bCs/>
          <w:sz w:val="28"/>
          <w:szCs w:val="28"/>
        </w:rPr>
        <w:fldChar w:fldCharType="end"/>
      </w:r>
      <w:r>
        <w:rPr>
          <w:rFonts w:hint="eastAsia" w:cs="宋体"/>
          <w:b w:val="0"/>
          <w:bCs/>
          <w:color w:val="auto"/>
          <w:sz w:val="28"/>
          <w:szCs w:val="32"/>
        </w:rPr>
        <w:fldChar w:fldCharType="end"/>
      </w:r>
    </w:p>
    <w:p w14:paraId="115DBC86">
      <w:pPr>
        <w:pStyle w:val="31"/>
        <w:keepNext w:val="0"/>
        <w:keepLines w:val="0"/>
        <w:pageBreakBefore w:val="0"/>
        <w:widowControl w:val="0"/>
        <w:tabs>
          <w:tab w:val="right" w:leader="dot" w:pos="9638"/>
          <w:tab w:val="clear" w:pos="9344"/>
        </w:tabs>
        <w:kinsoku/>
        <w:wordWrap/>
        <w:overflowPunct/>
        <w:topLinePunct w:val="0"/>
        <w:autoSpaceDE/>
        <w:autoSpaceDN/>
        <w:bidi w:val="0"/>
        <w:adjustRightInd/>
        <w:snapToGrid/>
        <w:spacing w:line="480" w:lineRule="auto"/>
        <w:textAlignment w:val="auto"/>
        <w:rPr>
          <w:rFonts w:hint="eastAsia" w:eastAsia="宋体"/>
          <w:b w:val="0"/>
          <w:bCs/>
          <w:sz w:val="28"/>
          <w:szCs w:val="28"/>
          <w:lang w:eastAsia="zh-CN"/>
        </w:rPr>
      </w:pPr>
      <w:r>
        <w:rPr>
          <w:rFonts w:hint="eastAsia" w:cs="宋体"/>
          <w:b w:val="0"/>
          <w:bCs/>
          <w:color w:val="auto"/>
          <w:sz w:val="28"/>
          <w:szCs w:val="32"/>
        </w:rPr>
        <w:fldChar w:fldCharType="begin"/>
      </w:r>
      <w:r>
        <w:rPr>
          <w:rFonts w:hint="eastAsia" w:cs="宋体"/>
          <w:b w:val="0"/>
          <w:bCs/>
          <w:sz w:val="28"/>
          <w:szCs w:val="32"/>
        </w:rPr>
        <w:instrText xml:space="preserve"> HYPERLINK \l _Toc5164 </w:instrText>
      </w:r>
      <w:r>
        <w:rPr>
          <w:rFonts w:hint="eastAsia" w:cs="宋体"/>
          <w:b w:val="0"/>
          <w:bCs/>
          <w:sz w:val="28"/>
          <w:szCs w:val="32"/>
        </w:rPr>
        <w:fldChar w:fldCharType="separate"/>
      </w:r>
      <w:r>
        <w:rPr>
          <w:rFonts w:hint="eastAsia" w:ascii="宋体" w:hAnsi="宋体" w:cs="宋体"/>
          <w:b w:val="0"/>
          <w:bCs/>
          <w:sz w:val="28"/>
          <w:szCs w:val="40"/>
        </w:rPr>
        <w:t>第六章 响应文件格式</w:t>
      </w:r>
      <w:r>
        <w:rPr>
          <w:b w:val="0"/>
          <w:bCs/>
          <w:sz w:val="28"/>
          <w:szCs w:val="28"/>
        </w:rPr>
        <w:tab/>
      </w:r>
      <w:r>
        <w:rPr>
          <w:b w:val="0"/>
          <w:bCs/>
          <w:sz w:val="28"/>
          <w:szCs w:val="28"/>
        </w:rPr>
        <w:fldChar w:fldCharType="begin"/>
      </w:r>
      <w:r>
        <w:rPr>
          <w:b w:val="0"/>
          <w:bCs/>
          <w:sz w:val="28"/>
          <w:szCs w:val="28"/>
        </w:rPr>
        <w:instrText xml:space="preserve"> PAGEREF _Toc5164 \h </w:instrText>
      </w:r>
      <w:r>
        <w:rPr>
          <w:b w:val="0"/>
          <w:bCs/>
          <w:sz w:val="28"/>
          <w:szCs w:val="28"/>
        </w:rPr>
        <w:fldChar w:fldCharType="separate"/>
      </w:r>
      <w:r>
        <w:rPr>
          <w:b w:val="0"/>
          <w:bCs/>
          <w:sz w:val="28"/>
          <w:szCs w:val="28"/>
        </w:rPr>
        <w:t>3</w:t>
      </w:r>
      <w:r>
        <w:rPr>
          <w:b w:val="0"/>
          <w:bCs/>
          <w:sz w:val="28"/>
          <w:szCs w:val="28"/>
        </w:rPr>
        <w:fldChar w:fldCharType="end"/>
      </w:r>
      <w:r>
        <w:rPr>
          <w:rFonts w:hint="eastAsia" w:cs="宋体"/>
          <w:b w:val="0"/>
          <w:bCs/>
          <w:color w:val="auto"/>
          <w:sz w:val="28"/>
          <w:szCs w:val="32"/>
        </w:rPr>
        <w:fldChar w:fldCharType="end"/>
      </w:r>
      <w:r>
        <w:rPr>
          <w:rFonts w:hint="eastAsia"/>
          <w:b w:val="0"/>
          <w:bCs/>
          <w:sz w:val="28"/>
          <w:szCs w:val="28"/>
          <w:lang w:val="en-US" w:eastAsia="zh-CN"/>
        </w:rPr>
        <w:t>3</w:t>
      </w:r>
    </w:p>
    <w:p w14:paraId="6F60E243">
      <w:pPr>
        <w:pStyle w:val="37"/>
        <w:tabs>
          <w:tab w:val="right" w:leader="dot" w:pos="9638"/>
        </w:tabs>
      </w:pPr>
    </w:p>
    <w:p w14:paraId="3A3121F9">
      <w:pPr>
        <w:pStyle w:val="31"/>
        <w:keepNext w:val="0"/>
        <w:keepLines w:val="0"/>
        <w:pageBreakBefore w:val="0"/>
        <w:widowControl w:val="0"/>
        <w:tabs>
          <w:tab w:val="right" w:leader="dot" w:pos="9240"/>
          <w:tab w:val="clear" w:pos="9344"/>
        </w:tabs>
        <w:kinsoku/>
        <w:wordWrap/>
        <w:overflowPunct/>
        <w:topLinePunct w:val="0"/>
        <w:autoSpaceDE/>
        <w:autoSpaceDN/>
        <w:bidi w:val="0"/>
        <w:adjustRightInd/>
        <w:snapToGrid/>
        <w:spacing w:before="0" w:after="0" w:line="480" w:lineRule="auto"/>
        <w:textAlignment w:val="auto"/>
        <w:rPr>
          <w:rFonts w:cs="宋体"/>
          <w:b w:val="0"/>
          <w:bCs w:val="0"/>
          <w:color w:val="auto"/>
        </w:rPr>
      </w:pPr>
      <w:r>
        <w:rPr>
          <w:rFonts w:hint="eastAsia" w:cs="宋体"/>
          <w:bCs w:val="0"/>
          <w:color w:val="auto"/>
          <w:szCs w:val="28"/>
        </w:rPr>
        <w:fldChar w:fldCharType="end"/>
      </w:r>
      <w:bookmarkStart w:id="8" w:name="_Toc43548069"/>
    </w:p>
    <w:p w14:paraId="49F914F8">
      <w:pPr>
        <w:rPr>
          <w:rFonts w:ascii="宋体" w:hAnsi="宋体" w:cs="宋体"/>
          <w:color w:val="auto"/>
          <w:sz w:val="11"/>
          <w:szCs w:val="11"/>
        </w:rPr>
      </w:pPr>
      <w:bookmarkStart w:id="9" w:name="_Toc10525513"/>
      <w:r>
        <w:rPr>
          <w:rFonts w:ascii="宋体" w:hAnsi="宋体" w:cs="宋体"/>
          <w:color w:val="auto"/>
          <w:sz w:val="11"/>
          <w:szCs w:val="11"/>
        </w:rPr>
        <w:br w:type="page"/>
      </w:r>
    </w:p>
    <w:p w14:paraId="20415FE9"/>
    <w:p w14:paraId="18F4FBE4">
      <w:pPr>
        <w:pStyle w:val="2"/>
        <w:numPr>
          <w:ilvl w:val="0"/>
          <w:numId w:val="5"/>
        </w:numPr>
        <w:spacing w:before="0" w:after="0" w:line="360" w:lineRule="auto"/>
        <w:ind w:left="1168" w:hanging="1168"/>
        <w:jc w:val="center"/>
        <w:rPr>
          <w:rFonts w:ascii="宋体" w:hAnsi="宋体" w:cs="宋体"/>
          <w:color w:val="auto"/>
          <w:szCs w:val="36"/>
        </w:rPr>
      </w:pPr>
      <w:bookmarkStart w:id="10" w:name="_Toc26809"/>
      <w:r>
        <w:rPr>
          <w:rFonts w:hint="eastAsia" w:ascii="宋体" w:hAnsi="宋体" w:cs="宋体"/>
          <w:color w:val="auto"/>
          <w:szCs w:val="36"/>
        </w:rPr>
        <w:t>磋商邀请</w:t>
      </w:r>
      <w:bookmarkEnd w:id="8"/>
      <w:bookmarkEnd w:id="9"/>
      <w:r>
        <w:rPr>
          <w:rFonts w:hint="eastAsia" w:ascii="宋体" w:hAnsi="宋体" w:cs="宋体"/>
          <w:color w:val="auto"/>
          <w:szCs w:val="36"/>
        </w:rPr>
        <w:t>函</w:t>
      </w:r>
      <w:bookmarkEnd w:id="10"/>
    </w:p>
    <w:bookmarkEnd w:id="0"/>
    <w:bookmarkEnd w:id="1"/>
    <w:bookmarkEnd w:id="2"/>
    <w:bookmarkEnd w:id="3"/>
    <w:bookmarkEnd w:id="4"/>
    <w:bookmarkEnd w:id="5"/>
    <w:bookmarkEnd w:id="6"/>
    <w:bookmarkEnd w:id="7"/>
    <w:p w14:paraId="4CE430C8">
      <w:pPr>
        <w:spacing w:line="480" w:lineRule="exact"/>
        <w:jc w:val="center"/>
        <w:rPr>
          <w:rFonts w:ascii="宋体" w:hAnsi="宋体" w:cs="宋体"/>
          <w:b/>
          <w:bCs/>
          <w:color w:val="auto"/>
          <w:sz w:val="24"/>
          <w:szCs w:val="24"/>
        </w:rPr>
      </w:pPr>
      <w:bookmarkStart w:id="11" w:name="_Toc11771900"/>
      <w:bookmarkStart w:id="12" w:name="_Toc13884769"/>
      <w:bookmarkStart w:id="13" w:name="_Toc19099503"/>
      <w:bookmarkStart w:id="14" w:name="_Toc12330396"/>
      <w:bookmarkStart w:id="15" w:name="_Toc12861158"/>
      <w:bookmarkStart w:id="16" w:name="_Toc12378037"/>
      <w:bookmarkStart w:id="17" w:name="_Toc27840483"/>
      <w:bookmarkStart w:id="18" w:name="_Toc11771771"/>
      <w:r>
        <w:rPr>
          <w:rFonts w:hint="eastAsia" w:ascii="宋体" w:hAnsi="宋体" w:cs="宋体"/>
          <w:b/>
          <w:bCs/>
          <w:color w:val="auto"/>
          <w:sz w:val="24"/>
          <w:szCs w:val="24"/>
        </w:rPr>
        <w:t>项目概况</w:t>
      </w:r>
    </w:p>
    <w:p w14:paraId="4B1A0C4D">
      <w:pPr>
        <w:wordWrap w:val="0"/>
        <w:topLinePunct/>
        <w:snapToGrid w:val="0"/>
        <w:spacing w:line="440" w:lineRule="exact"/>
        <w:ind w:firstLine="420" w:firstLineChars="200"/>
        <w:rPr>
          <w:rFonts w:ascii="宋体" w:hAnsi="宋体" w:cs="宋体"/>
          <w:color w:val="auto"/>
        </w:rPr>
      </w:pPr>
      <w:r>
        <w:rPr>
          <w:rFonts w:hint="eastAsia" w:ascii="宋体" w:hAnsi="宋体" w:cs="宋体"/>
          <w:color w:val="auto"/>
          <w:u w:val="single"/>
          <w:lang w:eastAsia="zh-CN"/>
        </w:rPr>
        <w:t>广东省北江监狱2025-2027年医院外送检验项目</w:t>
      </w:r>
      <w:r>
        <w:rPr>
          <w:rFonts w:hint="eastAsia" w:ascii="宋体" w:hAnsi="宋体" w:cs="宋体"/>
          <w:color w:val="auto"/>
        </w:rPr>
        <w:t>的潜在供应商应在</w:t>
      </w:r>
      <w:r>
        <w:rPr>
          <w:rFonts w:hint="eastAsia" w:ascii="宋体" w:hAnsi="宋体" w:cs="宋体"/>
          <w:color w:val="auto"/>
          <w:u w:val="single"/>
        </w:rPr>
        <w:t>韶关市浈江区金汇大道88号鑫金汇建材家居广场条铺二街2栋1楼125号</w:t>
      </w:r>
      <w:r>
        <w:rPr>
          <w:rFonts w:hint="eastAsia" w:ascii="宋体" w:hAnsi="宋体" w:cs="宋体"/>
          <w:color w:val="auto"/>
        </w:rPr>
        <w:t>获取磋商文件，并于</w:t>
      </w:r>
      <w:r>
        <w:rPr>
          <w:rFonts w:hint="eastAsia" w:ascii="宋体" w:hAnsi="宋体" w:cs="宋体"/>
          <w:color w:val="auto"/>
          <w:u w:val="single"/>
          <w:lang w:val="en-US" w:eastAsia="zh-CN"/>
        </w:rPr>
        <w:t>2025</w:t>
      </w:r>
      <w:r>
        <w:rPr>
          <w:rFonts w:hint="eastAsia" w:ascii="宋体" w:hAnsi="宋体" w:cs="宋体"/>
          <w:color w:val="auto"/>
        </w:rPr>
        <w:t>年</w:t>
      </w:r>
      <w:r>
        <w:rPr>
          <w:rFonts w:hint="eastAsia" w:ascii="宋体" w:hAnsi="宋体" w:cs="宋体"/>
          <w:color w:val="auto"/>
          <w:u w:val="single"/>
          <w:lang w:val="en-US" w:eastAsia="zh-CN"/>
        </w:rPr>
        <w:t>06</w:t>
      </w:r>
      <w:r>
        <w:rPr>
          <w:rFonts w:hint="eastAsia" w:ascii="宋体" w:hAnsi="宋体" w:cs="宋体"/>
          <w:color w:val="auto"/>
        </w:rPr>
        <w:t>月</w:t>
      </w:r>
      <w:r>
        <w:rPr>
          <w:rFonts w:hint="eastAsia" w:ascii="宋体" w:hAnsi="宋体" w:cs="宋体"/>
          <w:color w:val="auto"/>
          <w:u w:val="single"/>
          <w:lang w:val="en-US" w:eastAsia="zh-CN"/>
        </w:rPr>
        <w:t>10</w:t>
      </w:r>
      <w:r>
        <w:rPr>
          <w:rFonts w:hint="eastAsia" w:ascii="宋体" w:hAnsi="宋体" w:cs="宋体"/>
          <w:color w:val="auto"/>
        </w:rPr>
        <w:t>日</w:t>
      </w:r>
      <w:r>
        <w:rPr>
          <w:rFonts w:hint="eastAsia" w:ascii="宋体" w:hAnsi="宋体" w:cs="宋体"/>
          <w:color w:val="auto"/>
          <w:u w:val="single"/>
          <w:lang w:val="en-US" w:eastAsia="zh-CN"/>
        </w:rPr>
        <w:t>09</w:t>
      </w:r>
      <w:r>
        <w:rPr>
          <w:rFonts w:hint="eastAsia" w:ascii="宋体" w:hAnsi="宋体" w:cs="宋体"/>
          <w:color w:val="auto"/>
        </w:rPr>
        <w:t>时</w:t>
      </w:r>
      <w:r>
        <w:rPr>
          <w:rFonts w:hint="eastAsia" w:ascii="宋体" w:hAnsi="宋体" w:cs="宋体"/>
          <w:color w:val="auto"/>
          <w:u w:val="single"/>
          <w:lang w:val="en-US" w:eastAsia="zh-CN"/>
        </w:rPr>
        <w:t>30</w:t>
      </w:r>
      <w:r>
        <w:rPr>
          <w:rFonts w:hint="eastAsia" w:ascii="宋体" w:hAnsi="宋体" w:cs="宋体"/>
          <w:color w:val="auto"/>
        </w:rPr>
        <w:t>分（北京时间）前提交响应文件。</w:t>
      </w:r>
    </w:p>
    <w:p w14:paraId="730415E5">
      <w:pPr>
        <w:snapToGrid w:val="0"/>
        <w:spacing w:line="440" w:lineRule="exact"/>
        <w:rPr>
          <w:rFonts w:ascii="宋体" w:hAnsi="宋体" w:cs="宋体"/>
          <w:b/>
          <w:bCs/>
          <w:color w:val="auto"/>
        </w:rPr>
      </w:pPr>
      <w:r>
        <w:rPr>
          <w:rFonts w:hint="eastAsia" w:ascii="宋体" w:hAnsi="宋体" w:cs="宋体"/>
          <w:b/>
          <w:bCs/>
          <w:color w:val="auto"/>
        </w:rPr>
        <w:t>一、项目基本情况</w:t>
      </w:r>
    </w:p>
    <w:p w14:paraId="67445FB4">
      <w:pPr>
        <w:snapToGrid w:val="0"/>
        <w:spacing w:line="440" w:lineRule="exact"/>
        <w:ind w:firstLine="420" w:firstLineChars="200"/>
        <w:rPr>
          <w:rFonts w:hint="eastAsia" w:ascii="宋体" w:hAnsi="宋体" w:eastAsia="宋体" w:cs="宋体"/>
          <w:color w:val="auto"/>
          <w:lang w:eastAsia="zh-CN"/>
        </w:rPr>
      </w:pPr>
      <w:r>
        <w:rPr>
          <w:rFonts w:hint="eastAsia" w:ascii="宋体" w:hAnsi="宋体" w:cs="宋体"/>
          <w:color w:val="auto"/>
        </w:rPr>
        <w:t>项目编号：</w:t>
      </w:r>
      <w:r>
        <w:rPr>
          <w:rFonts w:hint="eastAsia" w:ascii="宋体" w:hAnsi="宋体" w:cs="宋体"/>
          <w:color w:val="auto"/>
          <w:lang w:eastAsia="zh-CN"/>
        </w:rPr>
        <w:t>SGJX250527FC</w:t>
      </w:r>
    </w:p>
    <w:p w14:paraId="0B33F21A">
      <w:pPr>
        <w:snapToGrid w:val="0"/>
        <w:spacing w:line="440" w:lineRule="exact"/>
        <w:ind w:firstLine="420" w:firstLineChars="200"/>
        <w:rPr>
          <w:rFonts w:hint="eastAsia" w:ascii="宋体" w:hAnsi="宋体" w:eastAsia="宋体" w:cs="宋体"/>
          <w:color w:val="auto"/>
          <w:szCs w:val="22"/>
          <w:lang w:eastAsia="zh-CN"/>
        </w:rPr>
      </w:pPr>
      <w:r>
        <w:rPr>
          <w:rFonts w:hint="eastAsia" w:ascii="宋体" w:hAnsi="宋体" w:cs="宋体"/>
          <w:color w:val="auto"/>
        </w:rPr>
        <w:t>项目名称：</w:t>
      </w:r>
      <w:r>
        <w:rPr>
          <w:rFonts w:hint="eastAsia" w:ascii="宋体" w:hAnsi="宋体" w:cs="宋体"/>
          <w:color w:val="auto"/>
          <w:lang w:eastAsia="zh-CN"/>
        </w:rPr>
        <w:t>广东省北江监狱2025-2027年医院外送检验项目</w:t>
      </w:r>
    </w:p>
    <w:p w14:paraId="322C37C8">
      <w:pPr>
        <w:snapToGrid w:val="0"/>
        <w:spacing w:line="440" w:lineRule="exact"/>
        <w:ind w:firstLine="420" w:firstLineChars="200"/>
        <w:rPr>
          <w:rFonts w:ascii="宋体" w:hAnsi="宋体" w:cs="宋体"/>
          <w:color w:val="auto"/>
          <w:szCs w:val="22"/>
        </w:rPr>
      </w:pPr>
      <w:r>
        <w:rPr>
          <w:rFonts w:hint="eastAsia" w:ascii="宋体" w:hAnsi="宋体" w:cs="宋体"/>
          <w:color w:val="auto"/>
          <w:szCs w:val="22"/>
        </w:rPr>
        <w:t>采购方式：竞争性磋商</w:t>
      </w:r>
    </w:p>
    <w:p w14:paraId="3F538B91">
      <w:pPr>
        <w:snapToGrid w:val="0"/>
        <w:spacing w:line="440" w:lineRule="exact"/>
        <w:ind w:firstLine="420" w:firstLineChars="200"/>
        <w:rPr>
          <w:rFonts w:ascii="宋体" w:hAnsi="宋体" w:cs="宋体"/>
          <w:color w:val="auto"/>
          <w:szCs w:val="22"/>
        </w:rPr>
      </w:pPr>
      <w:r>
        <w:rPr>
          <w:rFonts w:hint="eastAsia" w:ascii="宋体" w:hAnsi="宋体" w:cs="宋体"/>
          <w:color w:val="auto"/>
          <w:szCs w:val="22"/>
        </w:rPr>
        <w:t>预算金额：</w:t>
      </w:r>
      <w:r>
        <w:rPr>
          <w:rFonts w:hint="eastAsia" w:ascii="宋体" w:hAnsi="宋体" w:cs="宋体"/>
          <w:color w:val="auto"/>
          <w:szCs w:val="22"/>
          <w:lang w:val="en-US" w:eastAsia="zh-CN"/>
        </w:rPr>
        <w:t>约34.80万元/年，两年共约69.60万元</w:t>
      </w:r>
    </w:p>
    <w:p w14:paraId="6598CA23">
      <w:pPr>
        <w:snapToGrid w:val="0"/>
        <w:spacing w:line="440" w:lineRule="exact"/>
        <w:ind w:firstLine="420" w:firstLineChars="200"/>
        <w:rPr>
          <w:rFonts w:ascii="宋体" w:hAnsi="宋体" w:cs="宋体"/>
          <w:color w:val="auto"/>
        </w:rPr>
      </w:pPr>
      <w:r>
        <w:rPr>
          <w:rFonts w:hint="eastAsia" w:ascii="宋体" w:hAnsi="宋体" w:cs="宋体"/>
          <w:color w:val="auto"/>
        </w:rPr>
        <w:t>采购需求：</w:t>
      </w:r>
    </w:p>
    <w:tbl>
      <w:tblPr>
        <w:tblStyle w:val="47"/>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2647"/>
        <w:gridCol w:w="814"/>
        <w:gridCol w:w="1945"/>
        <w:gridCol w:w="2178"/>
        <w:gridCol w:w="1722"/>
      </w:tblGrid>
      <w:tr w14:paraId="03F5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42" w:type="dxa"/>
            <w:vAlign w:val="center"/>
          </w:tcPr>
          <w:p w14:paraId="331EBF2A">
            <w:pPr>
              <w:jc w:val="center"/>
              <w:rPr>
                <w:rFonts w:eastAsia="Times New Roman"/>
                <w:color w:val="auto"/>
              </w:rPr>
            </w:pPr>
            <w:r>
              <w:rPr>
                <w:rFonts w:hint="eastAsia" w:ascii="宋体" w:hAnsi="宋体" w:eastAsia="Times New Roman" w:cs="宋体"/>
                <w:b/>
                <w:bCs/>
                <w:color w:val="auto"/>
              </w:rPr>
              <w:t>序号</w:t>
            </w:r>
          </w:p>
        </w:tc>
        <w:tc>
          <w:tcPr>
            <w:tcW w:w="2647" w:type="dxa"/>
            <w:vAlign w:val="center"/>
          </w:tcPr>
          <w:p w14:paraId="44565BFC">
            <w:pPr>
              <w:jc w:val="center"/>
              <w:rPr>
                <w:rFonts w:hint="eastAsia" w:eastAsia="宋体"/>
                <w:color w:val="auto"/>
                <w:lang w:val="en-US" w:eastAsia="zh-CN"/>
              </w:rPr>
            </w:pPr>
            <w:r>
              <w:rPr>
                <w:rFonts w:hint="eastAsia" w:ascii="宋体" w:hAnsi="宋体" w:eastAsia="Times New Roman" w:cs="宋体"/>
                <w:b/>
                <w:bCs/>
                <w:color w:val="auto"/>
              </w:rPr>
              <w:t>标的</w:t>
            </w:r>
            <w:r>
              <w:rPr>
                <w:rFonts w:hint="eastAsia" w:ascii="宋体" w:hAnsi="宋体" w:eastAsia="宋体" w:cs="宋体"/>
                <w:b/>
                <w:bCs/>
                <w:color w:val="auto"/>
                <w:lang w:val="en-US" w:eastAsia="zh-CN"/>
              </w:rPr>
              <w:t>名称</w:t>
            </w:r>
          </w:p>
        </w:tc>
        <w:tc>
          <w:tcPr>
            <w:tcW w:w="814" w:type="dxa"/>
            <w:vAlign w:val="center"/>
          </w:tcPr>
          <w:p w14:paraId="70BC01A3">
            <w:pPr>
              <w:jc w:val="center"/>
              <w:rPr>
                <w:rFonts w:eastAsia="Times New Roman"/>
                <w:color w:val="auto"/>
              </w:rPr>
            </w:pPr>
            <w:r>
              <w:rPr>
                <w:rFonts w:hint="eastAsia" w:ascii="宋体" w:hAnsi="宋体" w:eastAsia="Times New Roman" w:cs="宋体"/>
                <w:b/>
                <w:bCs/>
                <w:color w:val="auto"/>
              </w:rPr>
              <w:t>数量</w:t>
            </w:r>
          </w:p>
        </w:tc>
        <w:tc>
          <w:tcPr>
            <w:tcW w:w="1945" w:type="dxa"/>
            <w:vAlign w:val="center"/>
          </w:tcPr>
          <w:p w14:paraId="0E63F449">
            <w:pPr>
              <w:adjustRightInd w:val="0"/>
              <w:snapToGrid w:val="0"/>
              <w:jc w:val="center"/>
              <w:rPr>
                <w:rFonts w:hint="default" w:eastAsia="宋体"/>
                <w:color w:val="auto"/>
                <w:lang w:val="en-US" w:eastAsia="zh-CN"/>
              </w:rPr>
            </w:pPr>
            <w:r>
              <w:rPr>
                <w:rFonts w:hint="eastAsia" w:ascii="宋体" w:hAnsi="宋体" w:cs="宋体"/>
                <w:b/>
                <w:bCs/>
                <w:color w:val="auto"/>
                <w:lang w:val="en-US" w:eastAsia="zh-CN"/>
              </w:rPr>
              <w:t>服务期</w:t>
            </w:r>
          </w:p>
        </w:tc>
        <w:tc>
          <w:tcPr>
            <w:tcW w:w="2178" w:type="dxa"/>
            <w:vAlign w:val="center"/>
          </w:tcPr>
          <w:p w14:paraId="08407AD4">
            <w:pPr>
              <w:pStyle w:val="41"/>
              <w:widowControl/>
              <w:jc w:val="center"/>
              <w:rPr>
                <w:rFonts w:hint="eastAsia" w:ascii="宋体" w:hAnsi="宋体" w:eastAsia="宋体" w:cs="宋体"/>
                <w:b/>
                <w:bCs/>
                <w:color w:val="auto"/>
                <w:sz w:val="21"/>
                <w:szCs w:val="21"/>
                <w:lang w:val="en-US" w:eastAsia="zh-CN" w:bidi="ar"/>
              </w:rPr>
            </w:pPr>
            <w:r>
              <w:rPr>
                <w:rFonts w:hint="eastAsia" w:ascii="宋体" w:hAnsi="宋体" w:eastAsia="宋体" w:cs="宋体"/>
                <w:b/>
                <w:bCs/>
                <w:color w:val="auto"/>
                <w:sz w:val="21"/>
                <w:szCs w:val="21"/>
                <w:lang w:val="en-US" w:eastAsia="zh-CN" w:bidi="ar"/>
              </w:rPr>
              <w:t>预算金额</w:t>
            </w:r>
          </w:p>
        </w:tc>
        <w:tc>
          <w:tcPr>
            <w:tcW w:w="1722" w:type="dxa"/>
            <w:vAlign w:val="center"/>
          </w:tcPr>
          <w:p w14:paraId="6B7C4C3C">
            <w:pPr>
              <w:pStyle w:val="41"/>
              <w:widowControl/>
              <w:jc w:val="center"/>
              <w:rPr>
                <w:rFonts w:eastAsia="Times New Roman"/>
                <w:color w:val="auto"/>
              </w:rPr>
            </w:pPr>
            <w:r>
              <w:rPr>
                <w:rFonts w:hint="eastAsia" w:ascii="宋体" w:hAnsi="宋体" w:eastAsia="Times New Roman" w:cs="宋体"/>
                <w:b/>
                <w:bCs/>
                <w:color w:val="auto"/>
                <w:sz w:val="21"/>
                <w:szCs w:val="21"/>
                <w:lang w:bidi="ar"/>
              </w:rPr>
              <w:t>所属行业</w:t>
            </w:r>
          </w:p>
        </w:tc>
      </w:tr>
      <w:tr w14:paraId="4965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42" w:type="dxa"/>
            <w:vAlign w:val="center"/>
          </w:tcPr>
          <w:p w14:paraId="0857F409">
            <w:pPr>
              <w:jc w:val="center"/>
              <w:rPr>
                <w:rFonts w:eastAsia="Times New Roman"/>
                <w:color w:val="auto"/>
              </w:rPr>
            </w:pPr>
            <w:r>
              <w:rPr>
                <w:rFonts w:hint="eastAsia" w:ascii="宋体" w:hAnsi="宋体" w:eastAsia="Times New Roman" w:cs="宋体"/>
                <w:color w:val="auto"/>
              </w:rPr>
              <w:t>1</w:t>
            </w:r>
          </w:p>
        </w:tc>
        <w:tc>
          <w:tcPr>
            <w:tcW w:w="2647" w:type="dxa"/>
            <w:vAlign w:val="center"/>
          </w:tcPr>
          <w:p w14:paraId="47488206">
            <w:pPr>
              <w:jc w:val="center"/>
              <w:textAlignment w:val="center"/>
              <w:rPr>
                <w:rFonts w:hint="eastAsia" w:eastAsia="宋体"/>
                <w:color w:val="auto"/>
                <w:lang w:eastAsia="zh-CN"/>
              </w:rPr>
            </w:pPr>
            <w:r>
              <w:rPr>
                <w:rFonts w:hint="eastAsia" w:ascii="宋体" w:hAnsi="宋体" w:cs="宋体"/>
                <w:color w:val="auto"/>
                <w:lang w:eastAsia="zh-CN"/>
              </w:rPr>
              <w:t>广东省北江监狱2025-2027年医院外送检验项目</w:t>
            </w:r>
          </w:p>
        </w:tc>
        <w:tc>
          <w:tcPr>
            <w:tcW w:w="814" w:type="dxa"/>
            <w:vAlign w:val="center"/>
          </w:tcPr>
          <w:p w14:paraId="31B43945">
            <w:pPr>
              <w:jc w:val="center"/>
              <w:rPr>
                <w:rFonts w:eastAsia="Times New Roman"/>
                <w:color w:val="auto"/>
              </w:rPr>
            </w:pPr>
            <w:r>
              <w:rPr>
                <w:rFonts w:hint="eastAsia" w:ascii="宋体" w:hAnsi="宋体" w:eastAsia="Times New Roman" w:cs="宋体"/>
                <w:color w:val="auto"/>
              </w:rPr>
              <w:t>1项</w:t>
            </w:r>
          </w:p>
        </w:tc>
        <w:tc>
          <w:tcPr>
            <w:tcW w:w="1945" w:type="dxa"/>
            <w:vAlign w:val="center"/>
          </w:tcPr>
          <w:p w14:paraId="234CEBBD">
            <w:pPr>
              <w:jc w:val="center"/>
              <w:rPr>
                <w:rFonts w:hint="default" w:eastAsia="宋体"/>
                <w:color w:val="auto"/>
                <w:lang w:val="en-US" w:eastAsia="zh-CN"/>
              </w:rPr>
            </w:pPr>
            <w:r>
              <w:rPr>
                <w:rFonts w:hint="eastAsia" w:ascii="宋体" w:hAnsi="宋体" w:eastAsia="宋体" w:cs="宋体"/>
                <w:color w:val="auto"/>
                <w:lang w:val="en-US" w:eastAsia="zh-CN"/>
              </w:rPr>
              <w:t>自合同签订之日起2年</w:t>
            </w:r>
          </w:p>
        </w:tc>
        <w:tc>
          <w:tcPr>
            <w:tcW w:w="2178" w:type="dxa"/>
            <w:vAlign w:val="center"/>
          </w:tcPr>
          <w:p w14:paraId="54C6F98F">
            <w:pPr>
              <w:jc w:val="center"/>
              <w:rPr>
                <w:rFonts w:hint="eastAsia" w:eastAsia="宋体"/>
                <w:color w:val="auto"/>
                <w:lang w:eastAsia="zh-CN"/>
              </w:rPr>
            </w:pPr>
            <w:r>
              <w:rPr>
                <w:rFonts w:hint="eastAsia" w:ascii="宋体" w:hAnsi="宋体" w:cs="宋体"/>
                <w:color w:val="auto"/>
                <w:szCs w:val="22"/>
                <w:lang w:val="en-US" w:eastAsia="zh-CN"/>
              </w:rPr>
              <w:t>约34.80万元/年，两年共约69.60万元</w:t>
            </w:r>
          </w:p>
        </w:tc>
        <w:tc>
          <w:tcPr>
            <w:tcW w:w="1722" w:type="dxa"/>
            <w:vAlign w:val="center"/>
          </w:tcPr>
          <w:p w14:paraId="161C8F50">
            <w:pPr>
              <w:jc w:val="center"/>
              <w:rPr>
                <w:rFonts w:hint="eastAsia" w:eastAsia="宋体"/>
                <w:color w:val="auto"/>
                <w:lang w:eastAsia="zh-CN"/>
              </w:rPr>
            </w:pPr>
            <w:r>
              <w:rPr>
                <w:rFonts w:hint="eastAsia" w:eastAsia="宋体"/>
                <w:color w:val="auto"/>
                <w:lang w:eastAsia="zh-CN"/>
              </w:rPr>
              <w:t>其他未列明行业</w:t>
            </w:r>
          </w:p>
        </w:tc>
      </w:tr>
    </w:tbl>
    <w:p w14:paraId="452304C8">
      <w:pPr>
        <w:snapToGrid w:val="0"/>
        <w:spacing w:line="460" w:lineRule="exact"/>
        <w:ind w:firstLine="420" w:firstLineChars="200"/>
        <w:rPr>
          <w:rFonts w:ascii="宋体" w:hAnsi="宋体" w:cs="宋体"/>
          <w:color w:val="auto"/>
          <w:szCs w:val="22"/>
        </w:rPr>
      </w:pPr>
      <w:r>
        <w:rPr>
          <w:rFonts w:hint="eastAsia" w:ascii="宋体" w:hAnsi="宋体" w:cs="宋体"/>
          <w:color w:val="auto"/>
          <w:szCs w:val="22"/>
        </w:rPr>
        <w:t>合同履行期限：合同所约定的全部义务履行完毕之日止。</w:t>
      </w:r>
    </w:p>
    <w:p w14:paraId="6ED5E16B">
      <w:pPr>
        <w:snapToGrid w:val="0"/>
        <w:spacing w:line="460" w:lineRule="exact"/>
        <w:ind w:firstLine="420" w:firstLineChars="200"/>
        <w:rPr>
          <w:rFonts w:ascii="宋体" w:hAnsi="宋体" w:cs="宋体"/>
          <w:color w:val="auto"/>
          <w:szCs w:val="22"/>
        </w:rPr>
      </w:pPr>
      <w:r>
        <w:rPr>
          <w:rFonts w:hint="eastAsia" w:ascii="宋体" w:hAnsi="宋体" w:cs="宋体"/>
          <w:color w:val="auto"/>
          <w:szCs w:val="22"/>
        </w:rPr>
        <w:t>本项目不接受联合体磋商。</w:t>
      </w:r>
    </w:p>
    <w:p w14:paraId="15C3EACE">
      <w:pPr>
        <w:snapToGrid w:val="0"/>
        <w:spacing w:line="460" w:lineRule="exact"/>
        <w:rPr>
          <w:rFonts w:ascii="宋体" w:hAnsi="宋体" w:cs="宋体"/>
          <w:b/>
          <w:bCs/>
          <w:color w:val="auto"/>
        </w:rPr>
      </w:pPr>
      <w:r>
        <w:rPr>
          <w:rFonts w:hint="eastAsia" w:ascii="宋体" w:hAnsi="宋体" w:cs="宋体"/>
          <w:b/>
          <w:bCs/>
          <w:color w:val="auto"/>
        </w:rPr>
        <w:t>二、申请人的资格要求</w:t>
      </w:r>
    </w:p>
    <w:p w14:paraId="75185E43">
      <w:pPr>
        <w:snapToGrid w:val="0"/>
        <w:spacing w:line="460" w:lineRule="exact"/>
        <w:ind w:firstLine="420" w:firstLineChars="200"/>
        <w:rPr>
          <w:rFonts w:hint="eastAsia" w:ascii="宋体" w:hAnsi="宋体" w:cs="宋体"/>
          <w:b w:val="0"/>
          <w:bCs/>
          <w:color w:val="auto"/>
          <w:szCs w:val="21"/>
          <w:lang w:eastAsia="zh-CN"/>
        </w:rPr>
      </w:pPr>
      <w:r>
        <w:rPr>
          <w:rFonts w:hint="eastAsia" w:ascii="宋体" w:hAnsi="宋体" w:cs="宋体"/>
          <w:color w:val="auto"/>
          <w:szCs w:val="22"/>
        </w:rPr>
        <w:t>1.供应商应具备有关法规规定的条件</w:t>
      </w:r>
      <w:r>
        <w:rPr>
          <w:rFonts w:hint="eastAsia" w:ascii="宋体" w:hAnsi="宋体" w:cs="宋体"/>
          <w:b w:val="0"/>
          <w:bCs/>
          <w:color w:val="auto"/>
          <w:szCs w:val="21"/>
          <w:lang w:val="en-US" w:eastAsia="zh-CN"/>
        </w:rPr>
        <w:t>及</w:t>
      </w:r>
      <w:r>
        <w:rPr>
          <w:rFonts w:hint="eastAsia" w:ascii="宋体" w:hAnsi="宋体" w:cs="宋体"/>
          <w:b w:val="0"/>
          <w:bCs/>
          <w:color w:val="auto"/>
          <w:szCs w:val="21"/>
        </w:rPr>
        <w:t>提供</w:t>
      </w:r>
      <w:r>
        <w:rPr>
          <w:rFonts w:hint="eastAsia" w:ascii="宋体" w:hAnsi="宋体" w:cs="宋体"/>
          <w:b w:val="0"/>
          <w:bCs/>
          <w:color w:val="auto"/>
          <w:szCs w:val="21"/>
          <w:lang w:val="en-US" w:eastAsia="zh-CN"/>
        </w:rPr>
        <w:t>以下</w:t>
      </w:r>
      <w:r>
        <w:rPr>
          <w:rFonts w:hint="eastAsia" w:ascii="宋体" w:hAnsi="宋体" w:cs="宋体"/>
          <w:b w:val="0"/>
          <w:bCs/>
          <w:color w:val="auto"/>
          <w:szCs w:val="21"/>
        </w:rPr>
        <w:t>材料</w:t>
      </w:r>
      <w:r>
        <w:rPr>
          <w:rFonts w:hint="eastAsia" w:ascii="宋体" w:hAnsi="宋体" w:cs="宋体"/>
          <w:b w:val="0"/>
          <w:bCs/>
          <w:color w:val="auto"/>
          <w:szCs w:val="21"/>
          <w:lang w:eastAsia="zh-CN"/>
        </w:rPr>
        <w:t>：</w:t>
      </w:r>
    </w:p>
    <w:p w14:paraId="75BD20BB">
      <w:pPr>
        <w:snapToGrid w:val="0"/>
        <w:spacing w:line="460" w:lineRule="exact"/>
        <w:ind w:firstLine="420" w:firstLineChars="200"/>
        <w:rPr>
          <w:rFonts w:ascii="宋体" w:hAnsi="宋体" w:cs="宋体"/>
          <w:color w:val="auto"/>
        </w:rPr>
      </w:pPr>
      <w:r>
        <w:rPr>
          <w:rFonts w:hint="eastAsia" w:ascii="宋体" w:hAnsi="宋体" w:cs="宋体"/>
          <w:color w:val="auto"/>
        </w:rPr>
        <w:t>（1）具有独立承担民事责任能力的在中华人民共和国境内注册的法人或其他组织。【提供有效的营业执照（或事业法人登记证或身份证等相关证明）复印件。分支机构投标的，须提供总公司（或其法人机构）和分支机构营业执照复印件，及总公司（或其法人机构）出具给分支机构的授权书。】</w:t>
      </w:r>
    </w:p>
    <w:p w14:paraId="35EC3472">
      <w:pPr>
        <w:snapToGrid w:val="0"/>
        <w:spacing w:line="460" w:lineRule="exact"/>
        <w:ind w:firstLine="420" w:firstLineChars="200"/>
        <w:rPr>
          <w:rFonts w:hint="eastAsia" w:ascii="宋体" w:hAnsi="宋体" w:cs="宋体"/>
          <w:color w:val="auto"/>
        </w:rPr>
      </w:pPr>
      <w:r>
        <w:rPr>
          <w:rFonts w:hint="eastAsia" w:ascii="宋体" w:hAnsi="宋体" w:cs="宋体"/>
          <w:color w:val="auto"/>
        </w:rPr>
        <w:t>（2）具有良好的商业信誉和健全的财务会计制度</w:t>
      </w:r>
      <w:r>
        <w:rPr>
          <w:rFonts w:hint="eastAsia" w:ascii="宋体" w:hAnsi="宋体" w:cs="宋体"/>
          <w:color w:val="auto"/>
          <w:lang w:eastAsia="zh-CN"/>
        </w:rPr>
        <w:t>。</w:t>
      </w:r>
      <w:r>
        <w:rPr>
          <w:rFonts w:hint="eastAsia" w:ascii="宋体" w:hAnsi="宋体" w:cs="宋体"/>
          <w:color w:val="auto"/>
        </w:rPr>
        <w:t>【提供</w:t>
      </w:r>
      <w:r>
        <w:rPr>
          <w:rFonts w:hint="eastAsia" w:ascii="宋体" w:hAnsi="宋体" w:eastAsia="宋体" w:cs="宋体"/>
          <w:b w:val="0"/>
          <w:bCs/>
          <w:color w:val="auto"/>
          <w:szCs w:val="21"/>
        </w:rPr>
        <w:t>第六章</w:t>
      </w:r>
      <w:r>
        <w:rPr>
          <w:rFonts w:hint="eastAsia" w:ascii="宋体" w:hAnsi="宋体" w:eastAsia="宋体" w:cs="宋体"/>
          <w:b w:val="0"/>
          <w:bCs/>
          <w:color w:val="auto"/>
          <w:szCs w:val="21"/>
          <w:lang w:val="en-US" w:eastAsia="zh-CN"/>
        </w:rPr>
        <w:t>响应</w:t>
      </w:r>
      <w:r>
        <w:rPr>
          <w:rFonts w:hint="eastAsia" w:ascii="宋体" w:hAnsi="宋体" w:eastAsia="宋体" w:cs="宋体"/>
          <w:b w:val="0"/>
          <w:bCs/>
          <w:color w:val="auto"/>
          <w:szCs w:val="21"/>
        </w:rPr>
        <w:t>文件格式</w:t>
      </w:r>
      <w:r>
        <w:rPr>
          <w:rFonts w:hint="eastAsia" w:ascii="宋体" w:hAnsi="宋体" w:cs="宋体"/>
          <w:color w:val="auto"/>
        </w:rPr>
        <w:t>《资格条件承诺函》】</w:t>
      </w:r>
    </w:p>
    <w:p w14:paraId="38ADA1CD">
      <w:pPr>
        <w:snapToGrid w:val="0"/>
        <w:spacing w:line="460" w:lineRule="exact"/>
        <w:ind w:firstLine="420" w:firstLineChars="200"/>
        <w:rPr>
          <w:rFonts w:hint="eastAsia" w:ascii="宋体" w:hAnsi="宋体" w:cs="宋体"/>
          <w:color w:val="auto"/>
        </w:rPr>
      </w:pPr>
      <w:r>
        <w:rPr>
          <w:rFonts w:hint="eastAsia" w:ascii="宋体" w:hAnsi="宋体" w:cs="宋体"/>
          <w:color w:val="auto"/>
        </w:rPr>
        <w:t>（3）具有履行合同所必需的设备和专业技术能力</w:t>
      </w:r>
      <w:r>
        <w:rPr>
          <w:rFonts w:hint="eastAsia" w:ascii="宋体" w:hAnsi="宋体" w:cs="宋体"/>
          <w:color w:val="auto"/>
          <w:lang w:eastAsia="zh-CN"/>
        </w:rPr>
        <w:t>。</w:t>
      </w:r>
      <w:r>
        <w:rPr>
          <w:rFonts w:hint="eastAsia" w:ascii="宋体" w:hAnsi="宋体" w:cs="宋体"/>
          <w:color w:val="auto"/>
        </w:rPr>
        <w:t>【提供</w:t>
      </w:r>
      <w:r>
        <w:rPr>
          <w:rFonts w:hint="eastAsia" w:ascii="宋体" w:hAnsi="宋体" w:eastAsia="宋体" w:cs="宋体"/>
          <w:b w:val="0"/>
          <w:bCs/>
          <w:color w:val="auto"/>
          <w:szCs w:val="21"/>
        </w:rPr>
        <w:t>第六章</w:t>
      </w:r>
      <w:r>
        <w:rPr>
          <w:rFonts w:hint="eastAsia" w:ascii="宋体" w:hAnsi="宋体" w:eastAsia="宋体" w:cs="宋体"/>
          <w:b w:val="0"/>
          <w:bCs/>
          <w:color w:val="auto"/>
          <w:szCs w:val="21"/>
          <w:lang w:val="en-US" w:eastAsia="zh-CN"/>
        </w:rPr>
        <w:t>响应</w:t>
      </w:r>
      <w:r>
        <w:rPr>
          <w:rFonts w:hint="eastAsia" w:ascii="宋体" w:hAnsi="宋体" w:eastAsia="宋体" w:cs="宋体"/>
          <w:b w:val="0"/>
          <w:bCs/>
          <w:color w:val="auto"/>
          <w:szCs w:val="21"/>
        </w:rPr>
        <w:t>文件格式</w:t>
      </w:r>
      <w:r>
        <w:rPr>
          <w:rFonts w:hint="eastAsia" w:ascii="宋体" w:hAnsi="宋体" w:cs="宋体"/>
          <w:color w:val="auto"/>
        </w:rPr>
        <w:t>《资格条件承诺函》】</w:t>
      </w:r>
    </w:p>
    <w:p w14:paraId="2668941D">
      <w:pPr>
        <w:snapToGrid w:val="0"/>
        <w:spacing w:line="460" w:lineRule="exact"/>
        <w:ind w:firstLine="420" w:firstLineChars="200"/>
        <w:rPr>
          <w:rFonts w:hint="eastAsia" w:ascii="宋体" w:hAnsi="宋体" w:cs="宋体"/>
          <w:color w:val="auto"/>
        </w:rPr>
      </w:pPr>
      <w:r>
        <w:rPr>
          <w:rFonts w:hint="eastAsia" w:ascii="宋体" w:hAnsi="宋体" w:cs="宋体"/>
          <w:color w:val="auto"/>
        </w:rPr>
        <w:t>（4）有依法缴纳税收和社会保障资金的良好记录</w:t>
      </w:r>
      <w:r>
        <w:rPr>
          <w:rFonts w:hint="eastAsia" w:ascii="宋体" w:hAnsi="宋体" w:cs="宋体"/>
          <w:color w:val="auto"/>
          <w:lang w:eastAsia="zh-CN"/>
        </w:rPr>
        <w:t>。</w:t>
      </w:r>
      <w:r>
        <w:rPr>
          <w:rFonts w:hint="eastAsia" w:ascii="宋体" w:hAnsi="宋体" w:cs="宋体"/>
          <w:color w:val="auto"/>
        </w:rPr>
        <w:t>【提供</w:t>
      </w:r>
      <w:r>
        <w:rPr>
          <w:rFonts w:hint="eastAsia" w:ascii="宋体" w:hAnsi="宋体" w:eastAsia="宋体" w:cs="宋体"/>
          <w:b w:val="0"/>
          <w:bCs/>
          <w:color w:val="auto"/>
          <w:szCs w:val="21"/>
        </w:rPr>
        <w:t>第六章</w:t>
      </w:r>
      <w:r>
        <w:rPr>
          <w:rFonts w:hint="eastAsia" w:ascii="宋体" w:hAnsi="宋体" w:eastAsia="宋体" w:cs="宋体"/>
          <w:b w:val="0"/>
          <w:bCs/>
          <w:color w:val="auto"/>
          <w:szCs w:val="21"/>
          <w:lang w:val="en-US" w:eastAsia="zh-CN"/>
        </w:rPr>
        <w:t>响应</w:t>
      </w:r>
      <w:r>
        <w:rPr>
          <w:rFonts w:hint="eastAsia" w:ascii="宋体" w:hAnsi="宋体" w:eastAsia="宋体" w:cs="宋体"/>
          <w:b w:val="0"/>
          <w:bCs/>
          <w:color w:val="auto"/>
          <w:szCs w:val="21"/>
        </w:rPr>
        <w:t>文件格式</w:t>
      </w:r>
      <w:r>
        <w:rPr>
          <w:rFonts w:hint="eastAsia" w:ascii="宋体" w:hAnsi="宋体" w:cs="宋体"/>
          <w:color w:val="auto"/>
        </w:rPr>
        <w:t>《资格条件承诺函》】</w:t>
      </w:r>
    </w:p>
    <w:p w14:paraId="38233CFB">
      <w:pPr>
        <w:snapToGrid w:val="0"/>
        <w:spacing w:line="460" w:lineRule="exact"/>
        <w:ind w:firstLine="420" w:firstLineChars="200"/>
        <w:rPr>
          <w:rFonts w:ascii="宋体" w:hAnsi="宋体" w:cs="宋体"/>
          <w:color w:val="auto"/>
        </w:rPr>
      </w:pPr>
      <w:r>
        <w:rPr>
          <w:rFonts w:hint="eastAsia" w:ascii="宋体" w:hAnsi="宋体" w:cs="宋体"/>
          <w:color w:val="auto"/>
        </w:rPr>
        <w:t>（5）参加采购活动前三年内，在经营活动中没有重大违法记录</w:t>
      </w:r>
      <w:r>
        <w:rPr>
          <w:rFonts w:hint="eastAsia" w:ascii="宋体" w:hAnsi="宋体" w:cs="宋体"/>
          <w:color w:val="auto"/>
          <w:lang w:eastAsia="zh-CN"/>
        </w:rPr>
        <w:t>。</w:t>
      </w:r>
      <w:r>
        <w:rPr>
          <w:rFonts w:hint="eastAsia" w:ascii="宋体" w:hAnsi="宋体" w:cs="宋体"/>
          <w:color w:val="auto"/>
        </w:rPr>
        <w:t>【提供</w:t>
      </w:r>
      <w:r>
        <w:rPr>
          <w:rFonts w:hint="eastAsia" w:ascii="宋体" w:hAnsi="宋体" w:eastAsia="宋体" w:cs="宋体"/>
          <w:b w:val="0"/>
          <w:bCs/>
          <w:color w:val="auto"/>
          <w:szCs w:val="21"/>
        </w:rPr>
        <w:t>第六章</w:t>
      </w:r>
      <w:r>
        <w:rPr>
          <w:rFonts w:hint="eastAsia" w:ascii="宋体" w:hAnsi="宋体" w:eastAsia="宋体" w:cs="宋体"/>
          <w:b w:val="0"/>
          <w:bCs/>
          <w:color w:val="auto"/>
          <w:szCs w:val="21"/>
          <w:lang w:val="en-US" w:eastAsia="zh-CN"/>
        </w:rPr>
        <w:t>响应</w:t>
      </w:r>
      <w:r>
        <w:rPr>
          <w:rFonts w:hint="eastAsia" w:ascii="宋体" w:hAnsi="宋体" w:eastAsia="宋体" w:cs="宋体"/>
          <w:b w:val="0"/>
          <w:bCs/>
          <w:color w:val="auto"/>
          <w:szCs w:val="21"/>
        </w:rPr>
        <w:t>文件格式</w:t>
      </w:r>
      <w:r>
        <w:rPr>
          <w:rFonts w:hint="eastAsia" w:ascii="宋体" w:hAnsi="宋体" w:cs="宋体"/>
          <w:color w:val="auto"/>
        </w:rPr>
        <w:t>《资格条件承诺函》】</w:t>
      </w:r>
    </w:p>
    <w:p w14:paraId="26EDC06C">
      <w:pPr>
        <w:snapToGrid w:val="0"/>
        <w:spacing w:line="460" w:lineRule="exact"/>
        <w:ind w:firstLine="420" w:firstLineChars="200"/>
        <w:rPr>
          <w:rFonts w:ascii="宋体" w:hAnsi="宋体" w:cs="宋体"/>
          <w:color w:val="auto"/>
          <w:szCs w:val="22"/>
        </w:rPr>
      </w:pPr>
      <w:r>
        <w:rPr>
          <w:rFonts w:hint="eastAsia" w:ascii="宋体" w:hAnsi="宋体" w:cs="宋体"/>
          <w:color w:val="auto"/>
          <w:szCs w:val="22"/>
        </w:rPr>
        <w:t>2.本项目的特定资格要求：</w:t>
      </w:r>
    </w:p>
    <w:p w14:paraId="6FE1BEDF">
      <w:pPr>
        <w:keepNext w:val="0"/>
        <w:keepLines w:val="0"/>
        <w:pageBreakBefore w:val="0"/>
        <w:kinsoku/>
        <w:overflowPunct/>
        <w:autoSpaceDE/>
        <w:autoSpaceDN/>
        <w:bidi w:val="0"/>
        <w:snapToGrid w:val="0"/>
        <w:spacing w:line="520" w:lineRule="exact"/>
        <w:ind w:firstLine="420" w:firstLineChars="200"/>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供应商</w:t>
      </w:r>
      <w:r>
        <w:rPr>
          <w:rFonts w:hint="eastAsia" w:ascii="宋体" w:hAnsi="宋体" w:eastAsia="宋体" w:cs="宋体"/>
          <w:b w:val="0"/>
          <w:bCs/>
          <w:color w:val="auto"/>
          <w:szCs w:val="21"/>
        </w:rPr>
        <w:t>未被列入“信用中国”网站(www.creditchina.gov.cn)“失信被执行人或重大税收违法失信主体”记录名单。【以采购代理机构于</w:t>
      </w:r>
      <w:r>
        <w:rPr>
          <w:rFonts w:hint="eastAsia" w:ascii="宋体" w:hAnsi="宋体" w:eastAsia="宋体" w:cs="宋体"/>
          <w:b w:val="0"/>
          <w:bCs/>
          <w:color w:val="auto"/>
          <w:szCs w:val="21"/>
          <w:lang w:val="en-US" w:eastAsia="zh-CN"/>
        </w:rPr>
        <w:t>响应</w:t>
      </w:r>
      <w:r>
        <w:rPr>
          <w:rFonts w:hint="eastAsia" w:ascii="宋体" w:hAnsi="宋体" w:eastAsia="宋体" w:cs="宋体"/>
          <w:b w:val="0"/>
          <w:bCs/>
          <w:color w:val="auto"/>
          <w:szCs w:val="21"/>
        </w:rPr>
        <w:t>截止时间当天查询结果为准，如相关失信记录已失效，报价人需提供相关证明资料。】</w:t>
      </w:r>
    </w:p>
    <w:p w14:paraId="1DB162BE">
      <w:pPr>
        <w:snapToGrid w:val="0"/>
        <w:spacing w:line="460" w:lineRule="exac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（2）单位负责人为同一人或者存在直接控股、管理关系的不同</w:t>
      </w:r>
      <w:r>
        <w:rPr>
          <w:rFonts w:hint="eastAsia" w:ascii="宋体" w:hAnsi="宋体" w:eastAsia="宋体" w:cs="宋体"/>
          <w:b w:val="0"/>
          <w:bCs/>
          <w:color w:val="auto"/>
          <w:szCs w:val="21"/>
          <w:lang w:val="en-US" w:eastAsia="zh-CN"/>
        </w:rPr>
        <w:t>供应商</w:t>
      </w:r>
      <w:r>
        <w:rPr>
          <w:rFonts w:hint="eastAsia" w:ascii="宋体" w:hAnsi="宋体" w:eastAsia="宋体" w:cs="宋体"/>
          <w:b w:val="0"/>
          <w:bCs/>
          <w:color w:val="auto"/>
          <w:szCs w:val="21"/>
        </w:rPr>
        <w:t>，不得同时参加本采购项目（或采购包）投标（响应）。为本项目提供整体设计、规范编制或者项目管理、监理、检测等服务的</w:t>
      </w:r>
      <w:r>
        <w:rPr>
          <w:rFonts w:hint="eastAsia" w:ascii="宋体" w:hAnsi="宋体" w:eastAsia="宋体" w:cs="宋体"/>
          <w:b w:val="0"/>
          <w:bCs/>
          <w:color w:val="auto"/>
          <w:szCs w:val="21"/>
          <w:lang w:val="en-US" w:eastAsia="zh-CN"/>
        </w:rPr>
        <w:t>供应商</w:t>
      </w:r>
      <w:r>
        <w:rPr>
          <w:rFonts w:hint="eastAsia" w:ascii="宋体" w:hAnsi="宋体" w:eastAsia="宋体" w:cs="宋体"/>
          <w:b w:val="0"/>
          <w:bCs/>
          <w:color w:val="auto"/>
          <w:szCs w:val="21"/>
        </w:rPr>
        <w:t>，不得再参与本项目投标（响应）。【提供第六章</w:t>
      </w:r>
      <w:r>
        <w:rPr>
          <w:rFonts w:hint="eastAsia" w:ascii="宋体" w:hAnsi="宋体" w:eastAsia="宋体" w:cs="宋体"/>
          <w:b w:val="0"/>
          <w:bCs/>
          <w:color w:val="auto"/>
          <w:szCs w:val="21"/>
          <w:lang w:val="en-US" w:eastAsia="zh-CN"/>
        </w:rPr>
        <w:t>响应</w:t>
      </w:r>
      <w:r>
        <w:rPr>
          <w:rFonts w:hint="eastAsia" w:ascii="宋体" w:hAnsi="宋体" w:eastAsia="宋体" w:cs="宋体"/>
          <w:b w:val="0"/>
          <w:bCs/>
          <w:color w:val="auto"/>
          <w:szCs w:val="21"/>
        </w:rPr>
        <w:t>文件格式《</w:t>
      </w:r>
      <w:r>
        <w:rPr>
          <w:rFonts w:hint="eastAsia" w:ascii="宋体" w:hAnsi="宋体" w:eastAsia="宋体" w:cs="宋体"/>
          <w:b w:val="0"/>
          <w:bCs/>
          <w:color w:val="auto"/>
          <w:szCs w:val="21"/>
          <w:lang w:val="en-US" w:eastAsia="zh-CN"/>
        </w:rPr>
        <w:t>磋商</w:t>
      </w:r>
      <w:r>
        <w:rPr>
          <w:rFonts w:hint="eastAsia" w:ascii="宋体" w:hAnsi="宋体" w:eastAsia="宋体" w:cs="宋体"/>
          <w:b w:val="0"/>
          <w:bCs/>
          <w:color w:val="auto"/>
          <w:szCs w:val="21"/>
        </w:rPr>
        <w:t>函》】</w:t>
      </w:r>
    </w:p>
    <w:p w14:paraId="0659D2DC">
      <w:pPr>
        <w:snapToGrid w:val="0"/>
        <w:spacing w:line="460" w:lineRule="exact"/>
        <w:ind w:firstLine="420" w:firstLineChars="200"/>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（3）检验单位资质需符合下列其中之一：</w:t>
      </w:r>
    </w:p>
    <w:p w14:paraId="223EF82A">
      <w:pPr>
        <w:snapToGrid w:val="0"/>
        <w:spacing w:line="460" w:lineRule="exact"/>
        <w:ind w:firstLine="420" w:firstLineChars="200"/>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1）检验单位如为医院单位的：须为卫生行政管理部门认定的二级（含）以上医院单位，且须具备有效期内的《医疗机构执业许可证》。</w:t>
      </w:r>
    </w:p>
    <w:p w14:paraId="0C00DE54">
      <w:pPr>
        <w:snapToGrid w:val="0"/>
        <w:spacing w:line="460" w:lineRule="exact"/>
        <w:ind w:firstLine="420" w:firstLineChars="200"/>
        <w:rPr>
          <w:rFonts w:hint="eastAsia" w:ascii="宋体" w:hAnsi="宋体" w:cs="宋体"/>
          <w:b w:val="0"/>
          <w:bCs/>
          <w:color w:val="FF0000"/>
          <w:szCs w:val="21"/>
          <w:lang w:val="en-US" w:eastAsia="zh-CN"/>
        </w:rPr>
      </w:pPr>
      <w:r>
        <w:rPr>
          <w:rFonts w:hint="eastAsia" w:ascii="宋体" w:hAnsi="宋体" w:cs="宋体"/>
          <w:b w:val="0"/>
          <w:bCs/>
          <w:color w:val="auto"/>
          <w:szCs w:val="21"/>
          <w:lang w:val="en-US" w:eastAsia="zh-CN"/>
        </w:rPr>
        <w:t>2）检验单位如为第三方检验机构的须具备：有效期内的《医疗机构执业许可证》。</w:t>
      </w:r>
    </w:p>
    <w:p w14:paraId="22B39F9E">
      <w:pPr>
        <w:snapToGrid w:val="0"/>
        <w:spacing w:line="460" w:lineRule="exact"/>
        <w:ind w:firstLine="420" w:firstLineChars="200"/>
        <w:rPr>
          <w:rFonts w:hint="default" w:ascii="宋体" w:hAnsi="宋体" w:eastAsia="宋体" w:cs="宋体"/>
          <w:b w:val="0"/>
          <w:bCs/>
          <w:color w:val="FF0000"/>
          <w:szCs w:val="21"/>
          <w:lang w:val="en-US" w:eastAsia="zh-CN"/>
        </w:rPr>
      </w:pPr>
      <w:r>
        <w:rPr>
          <w:rFonts w:hint="eastAsia" w:ascii="宋体" w:hAnsi="宋体" w:cs="宋体"/>
          <w:b w:val="0"/>
          <w:bCs/>
          <w:color w:val="auto"/>
          <w:szCs w:val="21"/>
          <w:lang w:val="en-US" w:eastAsia="zh-CN"/>
        </w:rPr>
        <w:t xml:space="preserve">（4）检验单位近三年内须通过经国家卫生健康委员会认定的室间质量评价机构组织的临床检验室室间质量评价。【提供室间质量评价合格报告复印件】 </w:t>
      </w:r>
    </w:p>
    <w:p w14:paraId="23A45FA4">
      <w:pPr>
        <w:snapToGrid w:val="0"/>
        <w:spacing w:line="460" w:lineRule="exact"/>
        <w:rPr>
          <w:rFonts w:ascii="宋体" w:hAnsi="宋体" w:cs="宋体"/>
          <w:b/>
          <w:bCs/>
          <w:color w:val="auto"/>
        </w:rPr>
      </w:pPr>
      <w:r>
        <w:rPr>
          <w:rFonts w:hint="eastAsia" w:ascii="宋体" w:hAnsi="宋体" w:cs="宋体"/>
          <w:b/>
          <w:bCs/>
          <w:color w:val="auto"/>
        </w:rPr>
        <w:t>三、获取采购文件</w:t>
      </w:r>
    </w:p>
    <w:p w14:paraId="53ACAA8D">
      <w:pPr>
        <w:snapToGrid w:val="0"/>
        <w:spacing w:line="460" w:lineRule="exact"/>
        <w:ind w:firstLine="420" w:firstLineChars="200"/>
        <w:rPr>
          <w:rFonts w:ascii="宋体" w:hAnsi="宋体" w:cs="宋体"/>
          <w:color w:val="auto"/>
        </w:rPr>
      </w:pPr>
      <w:r>
        <w:rPr>
          <w:rFonts w:hint="eastAsia" w:ascii="宋体" w:hAnsi="宋体" w:cs="宋体"/>
          <w:color w:val="auto"/>
          <w:lang w:val="en-US" w:eastAsia="zh-CN"/>
        </w:rPr>
        <w:t>1.</w:t>
      </w:r>
      <w:r>
        <w:rPr>
          <w:rFonts w:hint="eastAsia" w:ascii="宋体" w:hAnsi="宋体" w:cs="宋体"/>
          <w:color w:val="auto"/>
        </w:rPr>
        <w:t>时间：202</w:t>
      </w:r>
      <w:r>
        <w:rPr>
          <w:rFonts w:hint="eastAsia" w:ascii="宋体" w:hAnsi="宋体" w:cs="宋体"/>
          <w:color w:val="auto"/>
          <w:lang w:val="en-US" w:eastAsia="zh-CN"/>
        </w:rPr>
        <w:t>5</w:t>
      </w:r>
      <w:r>
        <w:rPr>
          <w:rFonts w:hint="eastAsia" w:ascii="宋体" w:hAnsi="宋体" w:cs="宋体"/>
          <w:color w:val="auto"/>
        </w:rPr>
        <w:t>年</w:t>
      </w:r>
      <w:r>
        <w:rPr>
          <w:rFonts w:hint="eastAsia" w:ascii="宋体" w:hAnsi="宋体" w:cs="宋体"/>
          <w:color w:val="auto"/>
          <w:lang w:val="en-US" w:eastAsia="zh-CN"/>
        </w:rPr>
        <w:t>05</w:t>
      </w:r>
      <w:r>
        <w:rPr>
          <w:rFonts w:hint="eastAsia" w:ascii="宋体" w:hAnsi="宋体" w:cs="宋体"/>
          <w:color w:val="auto"/>
        </w:rPr>
        <w:t>月</w:t>
      </w:r>
      <w:r>
        <w:rPr>
          <w:rFonts w:hint="eastAsia" w:ascii="宋体" w:hAnsi="宋体" w:cs="宋体"/>
          <w:color w:val="auto"/>
          <w:lang w:val="en-US" w:eastAsia="zh-CN"/>
        </w:rPr>
        <w:t>29</w:t>
      </w:r>
      <w:r>
        <w:rPr>
          <w:rFonts w:hint="eastAsia" w:ascii="宋体" w:hAnsi="宋体" w:cs="宋体"/>
          <w:color w:val="auto"/>
        </w:rPr>
        <w:t>日至202</w:t>
      </w:r>
      <w:r>
        <w:rPr>
          <w:rFonts w:hint="eastAsia" w:ascii="宋体" w:hAnsi="宋体" w:cs="宋体"/>
          <w:color w:val="auto"/>
          <w:lang w:val="en-US" w:eastAsia="zh-CN"/>
        </w:rPr>
        <w:t>5</w:t>
      </w:r>
      <w:r>
        <w:rPr>
          <w:rFonts w:hint="eastAsia" w:ascii="宋体" w:hAnsi="宋体" w:cs="宋体"/>
          <w:color w:val="auto"/>
        </w:rPr>
        <w:t>年</w:t>
      </w:r>
      <w:r>
        <w:rPr>
          <w:rFonts w:hint="eastAsia" w:ascii="宋体" w:hAnsi="宋体" w:cs="宋体"/>
          <w:color w:val="auto"/>
          <w:lang w:val="en-US" w:eastAsia="zh-CN"/>
        </w:rPr>
        <w:t>06</w:t>
      </w:r>
      <w:r>
        <w:rPr>
          <w:rFonts w:hint="eastAsia" w:ascii="宋体" w:hAnsi="宋体" w:cs="宋体"/>
          <w:color w:val="auto"/>
        </w:rPr>
        <w:t>月</w:t>
      </w:r>
      <w:r>
        <w:rPr>
          <w:rFonts w:hint="eastAsia" w:ascii="宋体" w:hAnsi="宋体" w:cs="宋体"/>
          <w:color w:val="auto"/>
          <w:lang w:val="en-US" w:eastAsia="zh-CN"/>
        </w:rPr>
        <w:t>06</w:t>
      </w:r>
      <w:r>
        <w:rPr>
          <w:rFonts w:hint="eastAsia" w:ascii="宋体" w:hAnsi="宋体" w:cs="宋体"/>
          <w:color w:val="auto"/>
        </w:rPr>
        <w:t>日，每天上午09:00至12:00，下午14:30至17:30（北京时间，法定节假日除外）</w:t>
      </w:r>
    </w:p>
    <w:p w14:paraId="0CDEEB52">
      <w:pPr>
        <w:snapToGrid w:val="0"/>
        <w:spacing w:line="460" w:lineRule="exact"/>
        <w:ind w:firstLine="420" w:firstLineChars="200"/>
        <w:rPr>
          <w:rFonts w:ascii="宋体" w:hAnsi="宋体" w:cs="宋体"/>
          <w:color w:val="auto"/>
        </w:rPr>
      </w:pPr>
      <w:r>
        <w:rPr>
          <w:rFonts w:hint="eastAsia" w:ascii="宋体" w:hAnsi="宋体" w:cs="宋体"/>
          <w:color w:val="auto"/>
          <w:lang w:val="en-US" w:eastAsia="zh-CN"/>
        </w:rPr>
        <w:t>2.</w:t>
      </w:r>
      <w:r>
        <w:rPr>
          <w:rFonts w:hint="eastAsia" w:ascii="宋体" w:hAnsi="宋体" w:cs="宋体"/>
          <w:color w:val="auto"/>
        </w:rPr>
        <w:t>地点：韶关市浈江区金汇大道88号鑫金汇建材家居广场条铺二街2栋1楼125号</w:t>
      </w:r>
    </w:p>
    <w:p w14:paraId="6E5E81EE">
      <w:pPr>
        <w:snapToGrid w:val="0"/>
        <w:spacing w:line="460" w:lineRule="exact"/>
        <w:ind w:firstLine="420" w:firstLineChars="200"/>
        <w:rPr>
          <w:rFonts w:hint="eastAsia" w:ascii="宋体" w:hAnsi="宋体" w:cs="宋体"/>
          <w:color w:val="auto"/>
        </w:rPr>
      </w:pPr>
      <w:r>
        <w:rPr>
          <w:rFonts w:hint="eastAsia" w:ascii="宋体" w:hAnsi="宋体" w:cs="宋体"/>
          <w:color w:val="auto"/>
          <w:lang w:val="en-US" w:eastAsia="zh-CN"/>
        </w:rPr>
        <w:t>3.</w:t>
      </w:r>
      <w:r>
        <w:rPr>
          <w:rFonts w:hint="eastAsia" w:ascii="宋体" w:hAnsi="宋体" w:cs="宋体"/>
          <w:color w:val="auto"/>
        </w:rPr>
        <w:t>方式：现场或</w:t>
      </w:r>
      <w:r>
        <w:rPr>
          <w:rFonts w:hint="eastAsia" w:ascii="宋体" w:hAnsi="宋体" w:cs="宋体"/>
          <w:color w:val="auto"/>
          <w:lang w:val="en-US" w:eastAsia="zh-CN"/>
        </w:rPr>
        <w:t>在线</w:t>
      </w:r>
      <w:r>
        <w:rPr>
          <w:rFonts w:hint="eastAsia" w:ascii="宋体" w:hAnsi="宋体" w:cs="宋体"/>
          <w:color w:val="auto"/>
        </w:rPr>
        <w:t>获取</w:t>
      </w:r>
    </w:p>
    <w:p w14:paraId="355B58DA">
      <w:pPr>
        <w:snapToGrid w:val="0"/>
        <w:spacing w:line="460" w:lineRule="exact"/>
        <w:ind w:firstLine="420" w:firstLineChars="200"/>
        <w:rPr>
          <w:rFonts w:hint="eastAsia" w:ascii="宋体" w:hAnsi="宋体" w:cs="宋体"/>
          <w:color w:val="auto"/>
        </w:rPr>
      </w:pPr>
      <w:r>
        <w:rPr>
          <w:rFonts w:hint="eastAsia" w:ascii="宋体" w:hAnsi="宋体" w:cs="宋体"/>
          <w:color w:val="auto"/>
          <w:lang w:val="en-US" w:eastAsia="zh-CN"/>
        </w:rPr>
        <w:t>4.</w:t>
      </w:r>
      <w:r>
        <w:rPr>
          <w:rFonts w:hint="eastAsia" w:ascii="宋体" w:hAnsi="宋体" w:cs="宋体"/>
          <w:color w:val="auto"/>
        </w:rPr>
        <w:t>售价（元）：免费获取</w:t>
      </w:r>
    </w:p>
    <w:p w14:paraId="6FC6C882">
      <w:pPr>
        <w:autoSpaceDE w:val="0"/>
        <w:autoSpaceDN w:val="0"/>
        <w:snapToGrid w:val="0"/>
        <w:spacing w:line="460" w:lineRule="exact"/>
        <w:ind w:firstLine="420" w:firstLineChars="200"/>
        <w:rPr>
          <w:rFonts w:ascii="宋体" w:hAnsi="宋体" w:cs="宋体"/>
          <w:b w:val="0"/>
          <w:bCs/>
          <w:color w:val="auto"/>
          <w:szCs w:val="21"/>
        </w:rPr>
      </w:pPr>
      <w:r>
        <w:rPr>
          <w:rFonts w:hint="eastAsia" w:ascii="宋体" w:hAnsi="宋体" w:cs="宋体"/>
          <w:b w:val="0"/>
          <w:bCs/>
          <w:color w:val="auto"/>
          <w:szCs w:val="21"/>
          <w:lang w:val="en-US" w:eastAsia="zh-CN"/>
        </w:rPr>
        <w:t>5.</w:t>
      </w:r>
      <w:r>
        <w:rPr>
          <w:rFonts w:hint="eastAsia" w:ascii="宋体" w:hAnsi="宋体" w:cs="宋体"/>
          <w:b w:val="0"/>
          <w:bCs/>
          <w:color w:val="auto"/>
          <w:szCs w:val="21"/>
        </w:rPr>
        <w:t>获取采购文件方式：</w:t>
      </w:r>
    </w:p>
    <w:p w14:paraId="222DB896">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（1）获取采购文件前，请先填写《供应商信息表》（表格可从采购代理机构网站www.junxinzbgs.com下载）。</w:t>
      </w:r>
    </w:p>
    <w:p w14:paraId="675F8E36">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（2）获取方式：</w:t>
      </w:r>
    </w:p>
    <w:p w14:paraId="4241496C">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宋体" w:hAnsi="宋体" w:eastAsia="宋体" w:cs="宋体"/>
          <w:color w:val="auto"/>
          <w:szCs w:val="21"/>
          <w:lang w:val="en-US" w:eastAsia="zh-CN"/>
        </w:rPr>
      </w:pPr>
      <w:r>
        <w:rPr>
          <w:rFonts w:hint="eastAsia" w:ascii="新宋体" w:hAnsi="新宋体" w:eastAsia="新宋体" w:cs="新宋体"/>
          <w:color w:val="auto"/>
          <w:szCs w:val="21"/>
          <w:lang w:val="en-US" w:eastAsia="zh-CN"/>
        </w:rPr>
        <w:t>①</w:t>
      </w:r>
      <w:r>
        <w:rPr>
          <w:rFonts w:hint="default" w:ascii="宋体" w:hAnsi="宋体" w:eastAsia="宋体" w:cs="宋体"/>
          <w:color w:val="auto"/>
          <w:szCs w:val="21"/>
          <w:lang w:val="en-US" w:eastAsia="zh-CN"/>
        </w:rPr>
        <w:t>现场获取，携带已填写的《供应商信息表》到指定地点领取采购文件；</w:t>
      </w:r>
    </w:p>
    <w:p w14:paraId="499EBCE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宋体" w:hAnsi="宋体" w:eastAsia="宋体" w:cs="宋体"/>
          <w:color w:val="auto"/>
          <w:szCs w:val="21"/>
          <w:lang w:val="en-US" w:eastAsia="zh-CN"/>
        </w:rPr>
      </w:pPr>
      <w:r>
        <w:rPr>
          <w:rFonts w:hint="eastAsia" w:ascii="新宋体" w:hAnsi="新宋体" w:eastAsia="新宋体" w:cs="新宋体"/>
          <w:color w:val="auto"/>
          <w:szCs w:val="21"/>
          <w:lang w:val="en-US" w:eastAsia="zh-CN"/>
        </w:rPr>
        <w:t>②</w:t>
      </w:r>
      <w:r>
        <w:rPr>
          <w:rFonts w:hint="default" w:ascii="宋体" w:hAnsi="宋体" w:eastAsia="宋体" w:cs="宋体"/>
          <w:color w:val="auto"/>
          <w:szCs w:val="21"/>
          <w:lang w:val="en-US" w:eastAsia="zh-CN"/>
        </w:rPr>
        <w:t>在线获取，将已填写的《供应商信息表》扫描发送至代理机构邮箱（junxinzbgs@163.com），待代理机构确认后，提供采购文件。</w:t>
      </w:r>
    </w:p>
    <w:p w14:paraId="519B5CE1">
      <w:pPr>
        <w:snapToGrid w:val="0"/>
        <w:spacing w:line="460" w:lineRule="exact"/>
        <w:rPr>
          <w:rFonts w:ascii="宋体" w:hAnsi="宋体" w:cs="宋体"/>
          <w:b/>
          <w:bCs/>
          <w:color w:val="auto"/>
        </w:rPr>
      </w:pPr>
      <w:r>
        <w:rPr>
          <w:rFonts w:hint="eastAsia" w:ascii="宋体" w:hAnsi="宋体" w:cs="宋体"/>
          <w:b/>
          <w:bCs/>
          <w:color w:val="auto"/>
        </w:rPr>
        <w:t>四、响应文件提交</w:t>
      </w:r>
    </w:p>
    <w:p w14:paraId="6EE93215">
      <w:pPr>
        <w:snapToGrid w:val="0"/>
        <w:spacing w:line="460" w:lineRule="exact"/>
        <w:ind w:firstLine="420" w:firstLineChars="200"/>
        <w:rPr>
          <w:rFonts w:hint="eastAsia" w:ascii="宋体" w:hAnsi="宋体" w:cs="宋体"/>
          <w:color w:val="auto"/>
        </w:rPr>
      </w:pPr>
      <w:r>
        <w:rPr>
          <w:rFonts w:hint="eastAsia" w:ascii="宋体" w:hAnsi="宋体" w:cs="宋体"/>
          <w:color w:val="auto"/>
        </w:rPr>
        <w:t>截止时间：</w:t>
      </w:r>
      <w:r>
        <w:rPr>
          <w:rFonts w:hint="eastAsia" w:ascii="宋体" w:hAnsi="宋体" w:cs="宋体"/>
          <w:color w:val="auto"/>
          <w:lang w:eastAsia="zh-CN"/>
        </w:rPr>
        <w:t>2025</w:t>
      </w:r>
      <w:r>
        <w:rPr>
          <w:rFonts w:hint="eastAsia" w:ascii="宋体" w:hAnsi="宋体" w:cs="宋体"/>
          <w:color w:val="auto"/>
        </w:rPr>
        <w:t>年</w:t>
      </w:r>
      <w:r>
        <w:rPr>
          <w:rFonts w:hint="eastAsia" w:ascii="宋体" w:hAnsi="宋体" w:cs="宋体"/>
          <w:color w:val="auto"/>
          <w:lang w:val="en-US" w:eastAsia="zh-CN"/>
        </w:rPr>
        <w:t>06</w:t>
      </w:r>
      <w:r>
        <w:rPr>
          <w:rFonts w:hint="eastAsia" w:ascii="宋体" w:hAnsi="宋体" w:cs="宋体"/>
          <w:color w:val="auto"/>
        </w:rPr>
        <w:t>月</w:t>
      </w:r>
      <w:r>
        <w:rPr>
          <w:rFonts w:hint="eastAsia" w:ascii="宋体" w:hAnsi="宋体" w:cs="宋体"/>
          <w:color w:val="auto"/>
          <w:lang w:val="en-US" w:eastAsia="zh-CN"/>
        </w:rPr>
        <w:t>10</w:t>
      </w:r>
      <w:r>
        <w:rPr>
          <w:rFonts w:hint="eastAsia" w:ascii="宋体" w:hAnsi="宋体" w:cs="宋体"/>
          <w:color w:val="auto"/>
        </w:rPr>
        <w:t>日</w:t>
      </w:r>
      <w:r>
        <w:rPr>
          <w:rFonts w:hint="eastAsia" w:ascii="宋体" w:hAnsi="宋体" w:cs="宋体"/>
          <w:color w:val="auto"/>
          <w:lang w:val="en-US" w:eastAsia="zh-CN"/>
        </w:rPr>
        <w:t>09</w:t>
      </w:r>
      <w:r>
        <w:rPr>
          <w:rFonts w:hint="eastAsia" w:ascii="宋体" w:hAnsi="宋体" w:cs="宋体"/>
          <w:color w:val="auto"/>
        </w:rPr>
        <w:t>点</w:t>
      </w:r>
      <w:r>
        <w:rPr>
          <w:rFonts w:hint="eastAsia" w:ascii="宋体" w:hAnsi="宋体" w:cs="宋体"/>
          <w:color w:val="auto"/>
          <w:lang w:val="en-US" w:eastAsia="zh-CN"/>
        </w:rPr>
        <w:t>30</w:t>
      </w:r>
      <w:r>
        <w:rPr>
          <w:rFonts w:hint="eastAsia" w:ascii="宋体" w:hAnsi="宋体" w:cs="宋体"/>
          <w:color w:val="auto"/>
        </w:rPr>
        <w:t>分（北京时间）</w:t>
      </w:r>
    </w:p>
    <w:p w14:paraId="1D5CB365">
      <w:pPr>
        <w:snapToGrid w:val="0"/>
        <w:spacing w:line="460" w:lineRule="exact"/>
        <w:ind w:firstLine="420" w:firstLineChars="200"/>
        <w:rPr>
          <w:rFonts w:ascii="宋体" w:hAnsi="宋体" w:cs="宋体"/>
          <w:color w:val="auto"/>
        </w:rPr>
      </w:pPr>
      <w:r>
        <w:rPr>
          <w:rFonts w:hint="eastAsia" w:ascii="宋体" w:hAnsi="宋体" w:cs="宋体"/>
          <w:color w:val="auto"/>
          <w:szCs w:val="22"/>
        </w:rPr>
        <w:t>地点：韶关市浈江区</w:t>
      </w:r>
      <w:r>
        <w:rPr>
          <w:rFonts w:hint="eastAsia" w:ascii="宋体" w:hAnsi="宋体" w:cs="宋体"/>
          <w:color w:val="auto"/>
        </w:rPr>
        <w:t>金汇大道88号鑫金汇建材家居广场条铺二街2栋1楼125号</w:t>
      </w:r>
    </w:p>
    <w:p w14:paraId="261093D3">
      <w:pPr>
        <w:snapToGrid w:val="0"/>
        <w:spacing w:line="460" w:lineRule="exact"/>
        <w:rPr>
          <w:rFonts w:ascii="宋体" w:hAnsi="宋体" w:cs="宋体"/>
          <w:b/>
          <w:bCs/>
          <w:color w:val="auto"/>
        </w:rPr>
      </w:pPr>
      <w:r>
        <w:rPr>
          <w:rFonts w:hint="eastAsia" w:ascii="宋体" w:hAnsi="宋体" w:cs="宋体"/>
          <w:b/>
          <w:bCs/>
          <w:color w:val="auto"/>
        </w:rPr>
        <w:t>五、开启</w:t>
      </w:r>
    </w:p>
    <w:p w14:paraId="0230B070">
      <w:pPr>
        <w:snapToGrid w:val="0"/>
        <w:spacing w:line="460" w:lineRule="exact"/>
        <w:ind w:firstLine="420" w:firstLineChars="200"/>
        <w:rPr>
          <w:rFonts w:ascii="宋体" w:hAnsi="宋体" w:cs="宋体"/>
          <w:color w:val="auto"/>
          <w:szCs w:val="22"/>
        </w:rPr>
      </w:pPr>
      <w:r>
        <w:rPr>
          <w:rFonts w:hint="eastAsia" w:ascii="宋体" w:hAnsi="宋体" w:cs="宋体"/>
          <w:color w:val="auto"/>
        </w:rPr>
        <w:t>时间：</w:t>
      </w:r>
      <w:r>
        <w:rPr>
          <w:rFonts w:hint="eastAsia" w:ascii="宋体" w:hAnsi="宋体" w:cs="宋体"/>
          <w:color w:val="auto"/>
          <w:lang w:eastAsia="zh-CN"/>
        </w:rPr>
        <w:t>2025</w:t>
      </w:r>
      <w:r>
        <w:rPr>
          <w:rFonts w:hint="eastAsia" w:ascii="宋体" w:hAnsi="宋体" w:cs="宋体"/>
          <w:color w:val="auto"/>
        </w:rPr>
        <w:t>年</w:t>
      </w:r>
      <w:r>
        <w:rPr>
          <w:rFonts w:hint="eastAsia" w:ascii="宋体" w:hAnsi="宋体" w:cs="宋体"/>
          <w:color w:val="auto"/>
          <w:lang w:val="en-US" w:eastAsia="zh-CN"/>
        </w:rPr>
        <w:t>06</w:t>
      </w:r>
      <w:r>
        <w:rPr>
          <w:rFonts w:hint="eastAsia" w:ascii="宋体" w:hAnsi="宋体" w:cs="宋体"/>
          <w:color w:val="auto"/>
        </w:rPr>
        <w:t>月</w:t>
      </w:r>
      <w:r>
        <w:rPr>
          <w:rFonts w:hint="eastAsia" w:ascii="宋体" w:hAnsi="宋体" w:cs="宋体"/>
          <w:color w:val="auto"/>
          <w:lang w:val="en-US" w:eastAsia="zh-CN"/>
        </w:rPr>
        <w:t>10</w:t>
      </w:r>
      <w:r>
        <w:rPr>
          <w:rFonts w:hint="eastAsia" w:ascii="宋体" w:hAnsi="宋体" w:cs="宋体"/>
          <w:color w:val="auto"/>
        </w:rPr>
        <w:t>日</w:t>
      </w:r>
      <w:r>
        <w:rPr>
          <w:rFonts w:hint="eastAsia" w:ascii="宋体" w:hAnsi="宋体" w:cs="宋体"/>
          <w:color w:val="auto"/>
          <w:lang w:val="en-US" w:eastAsia="zh-CN"/>
        </w:rPr>
        <w:t>09</w:t>
      </w:r>
      <w:r>
        <w:rPr>
          <w:rFonts w:hint="eastAsia" w:ascii="宋体" w:hAnsi="宋体" w:cs="宋体"/>
          <w:color w:val="auto"/>
        </w:rPr>
        <w:t>点</w:t>
      </w:r>
      <w:r>
        <w:rPr>
          <w:rFonts w:hint="eastAsia" w:ascii="宋体" w:hAnsi="宋体" w:cs="宋体"/>
          <w:color w:val="auto"/>
          <w:lang w:val="en-US" w:eastAsia="zh-CN"/>
        </w:rPr>
        <w:t>30</w:t>
      </w:r>
      <w:r>
        <w:rPr>
          <w:rFonts w:hint="eastAsia" w:ascii="宋体" w:hAnsi="宋体" w:cs="宋体"/>
          <w:color w:val="auto"/>
        </w:rPr>
        <w:t>分</w:t>
      </w:r>
      <w:r>
        <w:rPr>
          <w:rFonts w:hint="eastAsia" w:ascii="宋体" w:hAnsi="宋体" w:cs="宋体"/>
          <w:color w:val="auto"/>
          <w:szCs w:val="22"/>
        </w:rPr>
        <w:t>（北京时间）</w:t>
      </w:r>
    </w:p>
    <w:p w14:paraId="4AA44DFD">
      <w:pPr>
        <w:snapToGrid w:val="0"/>
        <w:spacing w:line="460" w:lineRule="exact"/>
        <w:ind w:firstLine="420" w:firstLineChars="200"/>
        <w:rPr>
          <w:rFonts w:ascii="宋体" w:hAnsi="宋体" w:cs="宋体"/>
          <w:color w:val="auto"/>
        </w:rPr>
      </w:pPr>
      <w:r>
        <w:rPr>
          <w:rFonts w:hint="eastAsia" w:ascii="宋体" w:hAnsi="宋体" w:cs="宋体"/>
          <w:color w:val="auto"/>
          <w:szCs w:val="22"/>
        </w:rPr>
        <w:t>地点：韶关市浈江区金汇</w:t>
      </w:r>
      <w:r>
        <w:rPr>
          <w:rFonts w:hint="eastAsia" w:ascii="宋体" w:hAnsi="宋体" w:cs="宋体"/>
          <w:color w:val="auto"/>
        </w:rPr>
        <w:t>大道88号鑫金汇建材家居广场条铺二街2栋1楼125号</w:t>
      </w:r>
    </w:p>
    <w:p w14:paraId="6E722C69">
      <w:pPr>
        <w:numPr>
          <w:ilvl w:val="0"/>
          <w:numId w:val="0"/>
        </w:numPr>
        <w:snapToGrid w:val="0"/>
        <w:spacing w:line="460" w:lineRule="exact"/>
        <w:rPr>
          <w:rFonts w:ascii="宋体" w:hAnsi="宋体" w:cs="宋体"/>
          <w:b/>
          <w:bCs/>
          <w:color w:val="auto"/>
        </w:rPr>
      </w:pPr>
      <w:r>
        <w:rPr>
          <w:rFonts w:hint="eastAsia" w:ascii="宋体" w:hAnsi="宋体" w:eastAsia="宋体" w:cs="宋体"/>
          <w:b/>
          <w:bCs/>
          <w:color w:val="auto"/>
          <w:kern w:val="2"/>
          <w:sz w:val="21"/>
          <w:lang w:val="en-US" w:eastAsia="zh-CN" w:bidi="ar-SA"/>
        </w:rPr>
        <w:t>六、</w:t>
      </w:r>
      <w:r>
        <w:rPr>
          <w:rFonts w:hint="eastAsia" w:ascii="宋体" w:hAnsi="宋体" w:cs="宋体"/>
          <w:b/>
          <w:bCs/>
          <w:color w:val="auto"/>
        </w:rPr>
        <w:t>公告期限</w:t>
      </w:r>
    </w:p>
    <w:p w14:paraId="46BDEBF6">
      <w:pPr>
        <w:pStyle w:val="58"/>
        <w:snapToGrid w:val="0"/>
        <w:spacing w:line="460" w:lineRule="exact"/>
        <w:ind w:firstLine="420" w:firstLineChars="200"/>
        <w:rPr>
          <w:rFonts w:hint="eastAsia" w:ascii="宋体" w:hAnsi="宋体" w:eastAsia="宋体" w:cs="宋体"/>
          <w:color w:val="auto"/>
          <w:kern w:val="2"/>
          <w:sz w:val="21"/>
          <w:lang w:val="en-US" w:eastAsia="zh-CN" w:bidi="ar-SA"/>
        </w:rPr>
      </w:pPr>
      <w:r>
        <w:rPr>
          <w:rFonts w:hint="eastAsia" w:ascii="宋体" w:hAnsi="宋体" w:eastAsia="宋体" w:cs="宋体"/>
          <w:color w:val="auto"/>
          <w:kern w:val="2"/>
          <w:sz w:val="21"/>
          <w:lang w:val="en-US" w:eastAsia="zh-CN" w:bidi="ar-SA"/>
        </w:rPr>
        <w:t>自本公告发布之日起3个工作日。</w:t>
      </w:r>
    </w:p>
    <w:p w14:paraId="25101747">
      <w:pPr>
        <w:snapToGrid w:val="0"/>
        <w:spacing w:line="460" w:lineRule="exact"/>
        <w:rPr>
          <w:rFonts w:ascii="宋体" w:hAnsi="宋体" w:cs="宋体"/>
          <w:b/>
          <w:bCs/>
          <w:color w:val="auto"/>
        </w:rPr>
      </w:pPr>
      <w:r>
        <w:rPr>
          <w:rFonts w:hint="eastAsia" w:ascii="宋体" w:hAnsi="宋体" w:cs="宋体"/>
          <w:b/>
          <w:bCs/>
          <w:color w:val="auto"/>
        </w:rPr>
        <w:t>七、其他补充事宜</w:t>
      </w:r>
    </w:p>
    <w:p w14:paraId="59228D5A">
      <w:pPr>
        <w:snapToGrid w:val="0"/>
        <w:spacing w:line="460" w:lineRule="exact"/>
        <w:ind w:firstLine="422" w:firstLineChars="200"/>
        <w:rPr>
          <w:rFonts w:ascii="宋体" w:hAnsi="宋体" w:cs="宋体"/>
          <w:b/>
          <w:bCs/>
          <w:color w:val="auto"/>
        </w:rPr>
      </w:pPr>
      <w:r>
        <w:rPr>
          <w:rFonts w:hint="eastAsia" w:ascii="宋体" w:hAnsi="宋体" w:cs="宋体"/>
          <w:b/>
          <w:bCs/>
          <w:color w:val="auto"/>
          <w:lang w:val="en-US" w:eastAsia="zh-CN"/>
        </w:rPr>
        <w:t>1</w:t>
      </w:r>
      <w:r>
        <w:rPr>
          <w:rFonts w:hint="eastAsia" w:ascii="宋体" w:hAnsi="宋体" w:cs="宋体"/>
          <w:b/>
          <w:bCs/>
          <w:color w:val="auto"/>
        </w:rPr>
        <w:t>.公告发布媒体：</w:t>
      </w:r>
    </w:p>
    <w:p w14:paraId="4CBCFDC4">
      <w:pPr>
        <w:snapToGrid w:val="0"/>
        <w:spacing w:line="460" w:lineRule="exact"/>
        <w:ind w:firstLine="420" w:firstLineChars="2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1</w:t>
      </w:r>
      <w:r>
        <w:rPr>
          <w:rFonts w:hint="eastAsia" w:ascii="宋体" w:hAnsi="宋体" w:cs="宋体"/>
          <w:color w:val="auto"/>
          <w:lang w:eastAsia="zh-CN"/>
        </w:rPr>
        <w:t>）</w:t>
      </w:r>
      <w:r>
        <w:rPr>
          <w:rFonts w:hint="eastAsia" w:ascii="宋体" w:hAnsi="宋体" w:cs="宋体"/>
          <w:color w:val="auto"/>
        </w:rPr>
        <w:t>广东省北江监狱网（http://bjjy.gd.gov.cn/）</w:t>
      </w:r>
    </w:p>
    <w:p w14:paraId="5B3FEFAD">
      <w:pPr>
        <w:snapToGrid w:val="0"/>
        <w:spacing w:line="460" w:lineRule="exact"/>
        <w:ind w:firstLine="420" w:firstLineChars="2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cs="宋体"/>
          <w:color w:val="auto"/>
          <w:lang w:eastAsia="zh-CN"/>
        </w:rPr>
        <w:t>）</w:t>
      </w:r>
      <w:r>
        <w:rPr>
          <w:rFonts w:hint="eastAsia" w:ascii="宋体" w:hAnsi="宋体" w:cs="宋体"/>
          <w:color w:val="auto"/>
        </w:rPr>
        <w:t>韶关市君信招标代理有限公司网（http://www.junxinzbgs.com）。</w:t>
      </w:r>
    </w:p>
    <w:p w14:paraId="7A9BA69D">
      <w:pPr>
        <w:snapToGrid w:val="0"/>
        <w:spacing w:line="460" w:lineRule="exact"/>
        <w:ind w:firstLine="420" w:firstLineChars="200"/>
        <w:rPr>
          <w:rFonts w:hint="eastAsia" w:ascii="宋体" w:hAnsi="宋体" w:cs="宋体"/>
          <w:color w:val="auto"/>
        </w:rPr>
      </w:pPr>
      <w:r>
        <w:rPr>
          <w:rFonts w:hint="eastAsia" w:ascii="宋体" w:hAnsi="宋体" w:cs="宋体"/>
          <w:color w:val="auto"/>
          <w:lang w:val="en-US" w:eastAsia="zh-CN"/>
        </w:rPr>
        <w:t>2</w:t>
      </w:r>
      <w:r>
        <w:rPr>
          <w:rFonts w:hint="eastAsia" w:ascii="宋体" w:hAnsi="宋体" w:cs="宋体"/>
          <w:color w:val="auto"/>
        </w:rPr>
        <w:t>.北江监狱纪检监督部门电话：0751-8836041</w:t>
      </w:r>
    </w:p>
    <w:p w14:paraId="49C4BEFC">
      <w:pPr>
        <w:snapToGrid w:val="0"/>
        <w:spacing w:line="460" w:lineRule="exact"/>
        <w:ind w:firstLine="420" w:firstLineChars="200"/>
        <w:rPr>
          <w:rFonts w:hint="eastAsia" w:ascii="宋体" w:hAnsi="宋体" w:cs="宋体"/>
          <w:color w:val="auto"/>
        </w:rPr>
      </w:pPr>
      <w:r>
        <w:rPr>
          <w:rFonts w:hint="eastAsia" w:ascii="宋体" w:hAnsi="宋体" w:cs="宋体"/>
          <w:color w:val="auto"/>
        </w:rPr>
        <w:t>举报地址：广东省韶关市浈江区十里亭镇黄岗北江监狱纪委</w:t>
      </w:r>
    </w:p>
    <w:p w14:paraId="501B027D">
      <w:pPr>
        <w:snapToGrid w:val="0"/>
        <w:spacing w:line="460" w:lineRule="exact"/>
        <w:ind w:firstLine="420" w:firstLineChars="200"/>
        <w:rPr>
          <w:rFonts w:ascii="宋体" w:hAnsi="宋体" w:cs="宋体"/>
          <w:color w:val="auto"/>
        </w:rPr>
      </w:pPr>
      <w:r>
        <w:rPr>
          <w:rFonts w:hint="eastAsia" w:ascii="宋体" w:hAnsi="宋体" w:cs="宋体"/>
          <w:color w:val="auto"/>
        </w:rPr>
        <w:t>邮政编码：512500</w:t>
      </w:r>
    </w:p>
    <w:p w14:paraId="273B15D5">
      <w:pPr>
        <w:snapToGrid w:val="0"/>
        <w:spacing w:line="460" w:lineRule="exact"/>
        <w:rPr>
          <w:rFonts w:ascii="宋体" w:hAnsi="宋体" w:cs="宋体"/>
          <w:b/>
          <w:bCs/>
          <w:color w:val="auto"/>
        </w:rPr>
      </w:pPr>
      <w:r>
        <w:rPr>
          <w:rFonts w:hint="eastAsia" w:ascii="宋体" w:hAnsi="宋体" w:cs="宋体"/>
          <w:b/>
          <w:bCs/>
          <w:color w:val="auto"/>
        </w:rPr>
        <w:t>八、凡对本次采购提出询问，请按以下方式联系。</w:t>
      </w:r>
    </w:p>
    <w:p w14:paraId="15390CD7">
      <w:pPr>
        <w:keepNext w:val="0"/>
        <w:keepLines w:val="0"/>
        <w:pageBreakBefore w:val="0"/>
        <w:kinsoku/>
        <w:overflowPunct/>
        <w:autoSpaceDE/>
        <w:autoSpaceDN/>
        <w:bidi w:val="0"/>
        <w:snapToGrid w:val="0"/>
        <w:spacing w:line="52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1.采购人信息</w:t>
      </w:r>
    </w:p>
    <w:p w14:paraId="48D529BD">
      <w:pPr>
        <w:keepNext w:val="0"/>
        <w:keepLines w:val="0"/>
        <w:pageBreakBefore w:val="0"/>
        <w:kinsoku/>
        <w:wordWrap w:val="0"/>
        <w:overflowPunct/>
        <w:topLinePunct/>
        <w:autoSpaceDE/>
        <w:autoSpaceDN/>
        <w:bidi w:val="0"/>
        <w:adjustRightInd w:val="0"/>
        <w:snapToGrid w:val="0"/>
        <w:spacing w:line="520" w:lineRule="exact"/>
        <w:ind w:right="0"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广东省北江监狱</w:t>
      </w:r>
    </w:p>
    <w:p w14:paraId="1E6C5C18">
      <w:pPr>
        <w:keepNext w:val="0"/>
        <w:keepLines w:val="0"/>
        <w:pageBreakBefore w:val="0"/>
        <w:kinsoku/>
        <w:wordWrap w:val="0"/>
        <w:overflowPunct/>
        <w:topLinePunct/>
        <w:autoSpaceDE/>
        <w:autoSpaceDN/>
        <w:bidi w:val="0"/>
        <w:adjustRightInd w:val="0"/>
        <w:snapToGrid w:val="0"/>
        <w:spacing w:line="520" w:lineRule="exact"/>
        <w:ind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地址：韶关市浈江区黄岗</w:t>
      </w:r>
    </w:p>
    <w:p w14:paraId="2AAC0E90">
      <w:pPr>
        <w:keepNext w:val="0"/>
        <w:keepLines w:val="0"/>
        <w:pageBreakBefore w:val="0"/>
        <w:kinsoku/>
        <w:wordWrap w:val="0"/>
        <w:overflowPunct/>
        <w:topLinePunct/>
        <w:autoSpaceDE/>
        <w:autoSpaceDN/>
        <w:bidi w:val="0"/>
        <w:adjustRightInd w:val="0"/>
        <w:snapToGrid w:val="0"/>
        <w:spacing w:line="520" w:lineRule="exact"/>
        <w:ind w:right="0"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val="en-US" w:eastAsia="zh-CN"/>
        </w:rPr>
        <w:t>郑小姐、</w:t>
      </w:r>
      <w:r>
        <w:rPr>
          <w:rFonts w:hint="eastAsia" w:ascii="宋体" w:hAnsi="宋体" w:eastAsia="宋体" w:cs="宋体"/>
          <w:color w:val="auto"/>
          <w:szCs w:val="21"/>
          <w:highlight w:val="none"/>
          <w:lang w:eastAsia="zh-CN"/>
        </w:rPr>
        <w:t>0751-8836871</w:t>
      </w:r>
    </w:p>
    <w:p w14:paraId="7E4D3D6D">
      <w:pPr>
        <w:keepNext w:val="0"/>
        <w:keepLines w:val="0"/>
        <w:pageBreakBefore w:val="0"/>
        <w:kinsoku/>
        <w:overflowPunct/>
        <w:autoSpaceDE/>
        <w:autoSpaceDN/>
        <w:bidi w:val="0"/>
        <w:snapToGrid w:val="0"/>
        <w:spacing w:line="520" w:lineRule="exact"/>
        <w:ind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2.采购代理机构信息</w:t>
      </w:r>
    </w:p>
    <w:p w14:paraId="05DE6041">
      <w:pPr>
        <w:keepNext w:val="0"/>
        <w:keepLines w:val="0"/>
        <w:pageBreakBefore w:val="0"/>
        <w:kinsoku/>
        <w:overflowPunct/>
        <w:autoSpaceDE/>
        <w:autoSpaceDN/>
        <w:bidi w:val="0"/>
        <w:snapToGrid w:val="0"/>
        <w:spacing w:line="52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名称：</w:t>
      </w:r>
      <w:r>
        <w:rPr>
          <w:rFonts w:hint="eastAsia" w:ascii="宋体" w:hAnsi="宋体" w:eastAsia="宋体" w:cs="宋体"/>
          <w:szCs w:val="21"/>
          <w:lang w:eastAsia="zh-CN"/>
        </w:rPr>
        <w:t>韶关市君信招标代理有限公司</w:t>
      </w:r>
    </w:p>
    <w:p w14:paraId="2A9B5A92">
      <w:pPr>
        <w:keepNext w:val="0"/>
        <w:keepLines w:val="0"/>
        <w:pageBreakBefore w:val="0"/>
        <w:kinsoku/>
        <w:overflowPunct/>
        <w:autoSpaceDE/>
        <w:autoSpaceDN/>
        <w:bidi w:val="0"/>
        <w:snapToGrid w:val="0"/>
        <w:spacing w:line="5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地址：韶关市浈江区金汇大道88号鑫金汇建材家居广场条铺二街2栋1楼125号</w:t>
      </w:r>
    </w:p>
    <w:p w14:paraId="4A7007E6">
      <w:pPr>
        <w:keepNext w:val="0"/>
        <w:keepLines w:val="0"/>
        <w:pageBreakBefore w:val="0"/>
        <w:kinsoku/>
        <w:overflowPunct/>
        <w:autoSpaceDE/>
        <w:autoSpaceDN/>
        <w:bidi w:val="0"/>
        <w:snapToGrid w:val="0"/>
        <w:spacing w:line="5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联系方式：</w:t>
      </w:r>
      <w:r>
        <w:rPr>
          <w:rFonts w:hint="eastAsia" w:ascii="宋体" w:hAnsi="宋体" w:cs="宋体"/>
          <w:szCs w:val="21"/>
          <w:lang w:val="en-US" w:eastAsia="zh-CN"/>
        </w:rPr>
        <w:t>许</w:t>
      </w:r>
      <w:r>
        <w:rPr>
          <w:rFonts w:hint="eastAsia" w:ascii="宋体" w:hAnsi="宋体" w:eastAsia="宋体" w:cs="宋体"/>
          <w:szCs w:val="21"/>
          <w:lang w:val="en-US" w:eastAsia="zh-CN"/>
        </w:rPr>
        <w:t>小姐</w:t>
      </w:r>
      <w:r>
        <w:rPr>
          <w:rFonts w:hint="eastAsia" w:ascii="宋体" w:hAnsi="宋体" w:eastAsia="宋体" w:cs="宋体"/>
          <w:szCs w:val="21"/>
          <w:lang w:eastAsia="zh-CN"/>
        </w:rPr>
        <w:t>、</w:t>
      </w:r>
      <w:r>
        <w:rPr>
          <w:rFonts w:hint="eastAsia" w:ascii="宋体" w:hAnsi="宋体" w:eastAsia="宋体" w:cs="宋体"/>
          <w:szCs w:val="21"/>
        </w:rPr>
        <w:t>0751-8888552</w:t>
      </w:r>
    </w:p>
    <w:p w14:paraId="4B21B980">
      <w:pPr>
        <w:snapToGrid w:val="0"/>
        <w:spacing w:line="460" w:lineRule="exact"/>
        <w:ind w:firstLine="1080" w:firstLineChars="300"/>
        <w:rPr>
          <w:rFonts w:hint="eastAsia" w:ascii="宋体" w:hAnsi="宋体" w:cs="宋体"/>
          <w:color w:val="auto"/>
          <w:sz w:val="36"/>
          <w:szCs w:val="36"/>
        </w:rPr>
      </w:pPr>
    </w:p>
    <w:p w14:paraId="1B2E3B8E">
      <w:pPr>
        <w:snapToGrid w:val="0"/>
        <w:spacing w:line="460" w:lineRule="exact"/>
        <w:ind w:firstLine="1080" w:firstLineChars="300"/>
        <w:rPr>
          <w:rFonts w:hint="eastAsia" w:ascii="宋体" w:hAnsi="宋体" w:cs="宋体"/>
          <w:color w:val="auto"/>
          <w:sz w:val="36"/>
          <w:szCs w:val="36"/>
        </w:rPr>
      </w:pPr>
    </w:p>
    <w:p w14:paraId="3CB15641">
      <w:pPr>
        <w:snapToGrid w:val="0"/>
        <w:spacing w:line="460" w:lineRule="exact"/>
        <w:ind w:firstLine="1080" w:firstLineChars="300"/>
        <w:rPr>
          <w:rFonts w:hint="eastAsia" w:ascii="宋体" w:hAnsi="宋体" w:cs="宋体"/>
          <w:color w:val="auto"/>
          <w:sz w:val="36"/>
          <w:szCs w:val="36"/>
        </w:rPr>
      </w:pPr>
    </w:p>
    <w:p w14:paraId="4C659F63">
      <w:pPr>
        <w:snapToGrid w:val="0"/>
        <w:spacing w:line="460" w:lineRule="exact"/>
        <w:ind w:firstLine="1080" w:firstLineChars="300"/>
        <w:rPr>
          <w:rFonts w:hint="eastAsia" w:ascii="宋体" w:hAnsi="宋体" w:cs="宋体"/>
          <w:color w:val="auto"/>
          <w:sz w:val="36"/>
          <w:szCs w:val="36"/>
        </w:rPr>
      </w:pPr>
    </w:p>
    <w:p w14:paraId="08A79514">
      <w:pPr>
        <w:snapToGrid w:val="0"/>
        <w:spacing w:line="460" w:lineRule="exact"/>
        <w:ind w:firstLine="630" w:firstLineChars="300"/>
        <w:jc w:val="right"/>
        <w:rPr>
          <w:rFonts w:ascii="宋体" w:hAnsi="宋体" w:cs="宋体"/>
          <w:color w:val="auto"/>
          <w:sz w:val="36"/>
          <w:szCs w:val="36"/>
        </w:rPr>
      </w:pPr>
      <w:r>
        <w:rPr>
          <w:rFonts w:hint="eastAsia" w:ascii="宋体" w:hAnsi="宋体" w:eastAsia="宋体" w:cs="宋体"/>
          <w:szCs w:val="21"/>
          <w:lang w:val="en-US" w:eastAsia="zh-CN"/>
        </w:rPr>
        <w:t>发布日期</w:t>
      </w:r>
      <w:r>
        <w:rPr>
          <w:rFonts w:hint="eastAsia" w:ascii="宋体" w:hAnsi="宋体" w:cs="宋体"/>
          <w:szCs w:val="21"/>
          <w:lang w:val="en-US" w:eastAsia="zh-CN"/>
        </w:rPr>
        <w:t>：2025年05月29日</w:t>
      </w:r>
      <w:r>
        <w:rPr>
          <w:rFonts w:hint="eastAsia" w:ascii="宋体" w:hAnsi="宋体" w:cs="宋体"/>
          <w:color w:val="auto"/>
          <w:sz w:val="36"/>
          <w:szCs w:val="36"/>
        </w:rPr>
        <w:br w:type="page"/>
      </w:r>
    </w:p>
    <w:p w14:paraId="6E59759E">
      <w:pPr>
        <w:rPr>
          <w:color w:val="auto"/>
        </w:rPr>
      </w:pPr>
    </w:p>
    <w:p w14:paraId="5D760E04">
      <w:pPr>
        <w:pStyle w:val="2"/>
        <w:numPr>
          <w:ilvl w:val="0"/>
          <w:numId w:val="5"/>
        </w:numPr>
        <w:spacing w:before="0" w:after="0" w:line="360" w:lineRule="auto"/>
        <w:ind w:left="1168" w:hanging="1168"/>
        <w:jc w:val="center"/>
        <w:rPr>
          <w:rFonts w:ascii="宋体" w:hAnsi="宋体" w:cs="宋体"/>
          <w:color w:val="auto"/>
          <w:szCs w:val="36"/>
        </w:rPr>
      </w:pPr>
      <w:bookmarkStart w:id="19" w:name="_Toc1411"/>
      <w:r>
        <w:rPr>
          <w:rFonts w:hint="eastAsia" w:ascii="宋体" w:hAnsi="宋体" w:cs="宋体"/>
          <w:color w:val="auto"/>
          <w:szCs w:val="36"/>
        </w:rPr>
        <w:t>用户需求</w:t>
      </w:r>
      <w:bookmarkStart w:id="20" w:name="_Toc27840477"/>
      <w:bookmarkStart w:id="21" w:name="_Toc30476634"/>
      <w:r>
        <w:rPr>
          <w:rFonts w:hint="eastAsia" w:ascii="宋体" w:hAnsi="宋体" w:cs="宋体"/>
          <w:color w:val="auto"/>
          <w:szCs w:val="36"/>
        </w:rPr>
        <w:t>书</w:t>
      </w:r>
      <w:bookmarkEnd w:id="19"/>
    </w:p>
    <w:p w14:paraId="381FD3FA">
      <w:pPr>
        <w:snapToGrid w:val="0"/>
        <w:spacing w:line="360" w:lineRule="auto"/>
        <w:rPr>
          <w:rFonts w:ascii="宋体" w:hAnsi="宋体" w:cs="宋体"/>
          <w:color w:val="auto"/>
          <w:szCs w:val="21"/>
        </w:rPr>
      </w:pPr>
      <w:r>
        <w:rPr>
          <w:rFonts w:hint="eastAsia" w:ascii="宋体" w:hAnsi="宋体" w:cs="宋体"/>
          <w:color w:val="auto"/>
          <w:szCs w:val="21"/>
        </w:rPr>
        <w:t>【说明】</w:t>
      </w:r>
    </w:p>
    <w:p w14:paraId="22603134">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1.《用户需求书》中凡标有“★”条款为实质性条款，供应商必须完全响应或优于这些要求，若有一项未响应或不满足，评标委员会将对其响应文件作无效投标处理。</w:t>
      </w:r>
    </w:p>
    <w:p w14:paraId="2BE87B6C">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2.《用户需求书》中凡标有“▲”条款为重要参数（如有），若有部分“▲”条款未响应或不满足，将根据评审要求影响其得分，但不作为无效投标（响应）条款。</w:t>
      </w:r>
    </w:p>
    <w:p w14:paraId="219018C4">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3.磋商报价（总价）中不得包含磋商文件要求以外的内容，否则，在评标时不予核减。若磋商报价有缺漏项的，缺漏项部分的价格视为已包含在磋商报价中，</w:t>
      </w:r>
      <w:r>
        <w:rPr>
          <w:rFonts w:hint="eastAsia" w:ascii="宋体" w:hAnsi="宋体" w:cs="宋体"/>
          <w:color w:val="auto"/>
          <w:szCs w:val="21"/>
          <w:lang w:val="en-US" w:eastAsia="zh-CN"/>
        </w:rPr>
        <w:t>成交</w:t>
      </w:r>
      <w:r>
        <w:rPr>
          <w:rFonts w:hint="eastAsia" w:ascii="宋体" w:hAnsi="宋体" w:cs="宋体"/>
          <w:color w:val="auto"/>
          <w:szCs w:val="21"/>
        </w:rPr>
        <w:t>后不作任何调整。</w:t>
      </w:r>
      <w:bookmarkEnd w:id="20"/>
      <w:bookmarkEnd w:id="21"/>
    </w:p>
    <w:p w14:paraId="031F6798">
      <w:pPr>
        <w:snapToGrid w:val="0"/>
        <w:spacing w:line="360" w:lineRule="auto"/>
        <w:rPr>
          <w:rFonts w:hint="eastAsia" w:ascii="宋体" w:hAnsi="宋体" w:eastAsia="宋体" w:cs="宋体"/>
          <w:b/>
          <w:bCs/>
          <w:color w:val="auto"/>
          <w:kern w:val="2"/>
          <w:sz w:val="24"/>
          <w:szCs w:val="24"/>
          <w:lang w:val="en-US" w:eastAsia="zh-CN" w:bidi="ar-SA"/>
        </w:rPr>
      </w:pPr>
    </w:p>
    <w:p w14:paraId="4B6DBEF5">
      <w:pPr>
        <w:keepNext w:val="0"/>
        <w:keepLines w:val="0"/>
        <w:pageBreakBefore w:val="0"/>
        <w:kinsoku/>
        <w:wordWrap/>
        <w:overflowPunct/>
        <w:topLinePunct w:val="0"/>
        <w:autoSpaceDE/>
        <w:autoSpaceDN/>
        <w:bidi w:val="0"/>
        <w:adjustRightInd/>
        <w:snapToGrid w:val="0"/>
        <w:spacing w:line="520" w:lineRule="exact"/>
        <w:rPr>
          <w:rFonts w:hint="eastAsia"/>
          <w:b/>
          <w:bCs/>
          <w:color w:val="auto"/>
          <w:sz w:val="24"/>
          <w:szCs w:val="24"/>
          <w:lang w:val="en-US" w:eastAsia="zh-CN"/>
        </w:rPr>
      </w:pPr>
      <w:r>
        <w:rPr>
          <w:rFonts w:hint="eastAsia" w:ascii="宋体" w:hAnsi="宋体" w:eastAsia="宋体" w:cs="宋体"/>
          <w:b/>
          <w:bCs/>
          <w:color w:val="auto"/>
          <w:kern w:val="2"/>
          <w:sz w:val="24"/>
          <w:szCs w:val="24"/>
          <w:lang w:val="en-US" w:eastAsia="zh-CN" w:bidi="ar-SA"/>
        </w:rPr>
        <w:t>一、</w:t>
      </w:r>
      <w:r>
        <w:rPr>
          <w:rFonts w:hint="eastAsia"/>
          <w:b/>
          <w:bCs/>
          <w:color w:val="auto"/>
          <w:sz w:val="24"/>
          <w:szCs w:val="24"/>
          <w:lang w:val="en-US" w:eastAsia="zh-CN"/>
        </w:rPr>
        <w:t>项目概况</w:t>
      </w:r>
    </w:p>
    <w:p w14:paraId="53EE7DD5">
      <w:pPr>
        <w:pStyle w:val="13"/>
        <w:keepNext w:val="0"/>
        <w:keepLines w:val="0"/>
        <w:pageBreakBefore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1.项目名称：广东省北江监狱2025-2027年医院外送检验项目。</w:t>
      </w:r>
    </w:p>
    <w:p w14:paraId="12F4E2AC">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2.预算金额：约34.80万元/年，两年共约69.60万元，以实际发生项目结算费用。</w:t>
      </w:r>
    </w:p>
    <w:p w14:paraId="1F637352">
      <w:pPr>
        <w:pStyle w:val="13"/>
        <w:rPr>
          <w:rFonts w:hint="default"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3.本项目为服务类项目。</w:t>
      </w:r>
    </w:p>
    <w:p w14:paraId="136E3465">
      <w:pPr>
        <w:numPr>
          <w:ilvl w:val="0"/>
          <w:numId w:val="0"/>
        </w:numPr>
        <w:spacing w:line="360" w:lineRule="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技术要求</w:t>
      </w:r>
    </w:p>
    <w:p w14:paraId="0958D3FF">
      <w:pPr>
        <w:numPr>
          <w:ilvl w:val="0"/>
          <w:numId w:val="0"/>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（一）检验</w:t>
      </w:r>
      <w:r>
        <w:rPr>
          <w:rFonts w:hint="eastAsia" w:ascii="宋体" w:hAnsi="宋体" w:eastAsia="宋体" w:cs="宋体"/>
          <w:b/>
          <w:bCs/>
          <w:color w:val="auto"/>
          <w:sz w:val="24"/>
          <w:szCs w:val="24"/>
        </w:rPr>
        <w:t>项目内容</w:t>
      </w:r>
    </w:p>
    <w:p w14:paraId="0A08995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8"/>
          <w:szCs w:val="28"/>
          <w:u w:val="none"/>
          <w:lang w:val="en-US" w:eastAsia="zh-CN" w:bidi="ar"/>
        </w:rPr>
        <w:t>广东省北江监狱2025-2027年度外送检验项目</w:t>
      </w:r>
      <w:r>
        <w:rPr>
          <w:rFonts w:hint="eastAsia" w:ascii="宋体" w:hAnsi="宋体" w:cs="宋体"/>
          <w:b/>
          <w:bCs/>
          <w:i w:val="0"/>
          <w:iCs w:val="0"/>
          <w:color w:val="auto"/>
          <w:kern w:val="0"/>
          <w:sz w:val="28"/>
          <w:szCs w:val="28"/>
          <w:u w:val="none"/>
          <w:lang w:val="en-US" w:eastAsia="zh-CN" w:bidi="ar"/>
        </w:rPr>
        <w:t>及</w:t>
      </w:r>
      <w:r>
        <w:rPr>
          <w:rFonts w:hint="eastAsia" w:ascii="宋体" w:hAnsi="宋体" w:eastAsia="宋体" w:cs="宋体"/>
          <w:b/>
          <w:bCs/>
          <w:i w:val="0"/>
          <w:iCs w:val="0"/>
          <w:color w:val="auto"/>
          <w:kern w:val="0"/>
          <w:sz w:val="28"/>
          <w:szCs w:val="28"/>
          <w:u w:val="none"/>
          <w:lang w:val="en-US" w:eastAsia="zh-CN" w:bidi="ar"/>
        </w:rPr>
        <w:t>最高限价</w:t>
      </w:r>
      <w:r>
        <w:rPr>
          <w:rFonts w:hint="eastAsia" w:ascii="宋体" w:hAnsi="宋体" w:eastAsia="宋体" w:cs="宋体"/>
          <w:i w:val="0"/>
          <w:iCs w:val="0"/>
          <w:color w:val="auto"/>
          <w:kern w:val="0"/>
          <w:sz w:val="21"/>
          <w:szCs w:val="21"/>
          <w:u w:val="none"/>
          <w:lang w:val="en-US" w:eastAsia="zh-CN" w:bidi="ar"/>
        </w:rPr>
        <w:t xml:space="preserve">  </w:t>
      </w:r>
    </w:p>
    <w:p w14:paraId="756D192B">
      <w:pPr>
        <w:rPr>
          <w:rFonts w:hint="eastAsia"/>
          <w:color w:val="auto"/>
          <w:lang w:eastAsia="zh-CN"/>
        </w:rPr>
      </w:pPr>
    </w:p>
    <w:tbl>
      <w:tblPr>
        <w:tblStyle w:val="46"/>
        <w:tblW w:w="92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6986"/>
        <w:gridCol w:w="1656"/>
      </w:tblGrid>
      <w:tr w14:paraId="43566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43B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20D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检验项目</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C2E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单价最高</w:t>
            </w:r>
            <w:r>
              <w:rPr>
                <w:rFonts w:hint="eastAsia" w:ascii="宋体" w:hAnsi="宋体" w:eastAsia="宋体" w:cs="宋体"/>
                <w:b/>
                <w:bCs/>
                <w:i w:val="0"/>
                <w:iCs w:val="0"/>
                <w:color w:val="auto"/>
                <w:kern w:val="0"/>
                <w:sz w:val="21"/>
                <w:szCs w:val="21"/>
                <w:u w:val="none"/>
                <w:lang w:val="en-US" w:eastAsia="zh-CN" w:bidi="ar"/>
              </w:rPr>
              <w:t>限价</w:t>
            </w:r>
            <w:r>
              <w:rPr>
                <w:rFonts w:hint="eastAsia" w:ascii="宋体" w:hAnsi="宋体" w:cs="宋体"/>
                <w:b/>
                <w:bCs/>
                <w:i w:val="0"/>
                <w:iCs w:val="0"/>
                <w:color w:val="auto"/>
                <w:kern w:val="0"/>
                <w:sz w:val="21"/>
                <w:szCs w:val="21"/>
                <w:u w:val="none"/>
                <w:lang w:val="en-US" w:eastAsia="zh-CN" w:bidi="ar"/>
              </w:rPr>
              <w:t>（元）</w:t>
            </w:r>
          </w:p>
        </w:tc>
      </w:tr>
      <w:tr w14:paraId="4235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0031E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C3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五分类血常规</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8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14.38 </w:t>
            </w:r>
          </w:p>
        </w:tc>
      </w:tr>
      <w:tr w14:paraId="68A5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51644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F7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尿常规</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0D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7.61 </w:t>
            </w:r>
          </w:p>
        </w:tc>
      </w:tr>
      <w:tr w14:paraId="73A6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682890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32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大便常规+潜血</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8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5.10 </w:t>
            </w:r>
          </w:p>
        </w:tc>
      </w:tr>
      <w:tr w14:paraId="6AB8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096F9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98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梅毒抗体TPPA</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1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29.61 </w:t>
            </w:r>
          </w:p>
        </w:tc>
      </w:tr>
      <w:tr w14:paraId="524F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738D9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60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血沉</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1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4.23 </w:t>
            </w:r>
          </w:p>
        </w:tc>
      </w:tr>
      <w:tr w14:paraId="0FAFB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7538D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71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人类免疫缺陷病毒抗体定性（金标法）</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8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33.84 </w:t>
            </w:r>
          </w:p>
        </w:tc>
      </w:tr>
      <w:tr w14:paraId="43F0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63313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CE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肝功：谷丙、谷草、总蛋白、白蛋白、球蛋白、</w:t>
            </w:r>
            <w:r>
              <w:rPr>
                <w:rFonts w:hint="eastAsia" w:ascii="宋体" w:hAnsi="宋体" w:eastAsia="宋体" w:cs="宋体"/>
                <w:color w:val="000000"/>
                <w:sz w:val="21"/>
                <w:szCs w:val="21"/>
                <w:u w:val="none"/>
                <w:lang w:val="en-US" w:eastAsia="zh-CN" w:bidi="ar"/>
              </w:rPr>
              <w:t>γ-</w:t>
            </w:r>
            <w:r>
              <w:rPr>
                <w:rStyle w:val="236"/>
                <w:rFonts w:hint="eastAsia" w:ascii="宋体" w:hAnsi="宋体" w:eastAsia="宋体" w:cs="宋体"/>
                <w:sz w:val="21"/>
                <w:szCs w:val="21"/>
                <w:lang w:val="en-US" w:eastAsia="zh-CN" w:bidi="ar"/>
              </w:rPr>
              <w:t>谷酰转肽酶、碱性磷酸酶、乳酸脱氢酶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2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32.99 </w:t>
            </w:r>
          </w:p>
        </w:tc>
      </w:tr>
      <w:tr w14:paraId="12EFC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5D6126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65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肝功</w:t>
            </w:r>
            <w:r>
              <w:rPr>
                <w:rFonts w:hint="eastAsia" w:ascii="宋体" w:hAnsi="宋体" w:eastAsia="宋体" w:cs="宋体"/>
                <w:color w:val="000000"/>
                <w:sz w:val="21"/>
                <w:szCs w:val="21"/>
                <w:u w:val="none"/>
                <w:lang w:val="en-US" w:eastAsia="zh-CN" w:bidi="ar"/>
              </w:rPr>
              <w:t>3</w:t>
            </w:r>
            <w:r>
              <w:rPr>
                <w:rStyle w:val="236"/>
                <w:rFonts w:hint="eastAsia" w:ascii="宋体" w:hAnsi="宋体" w:eastAsia="宋体" w:cs="宋体"/>
                <w:sz w:val="21"/>
                <w:szCs w:val="21"/>
                <w:lang w:val="en-US" w:eastAsia="zh-CN" w:bidi="ar"/>
              </w:rPr>
              <w:t>项：（</w:t>
            </w:r>
            <w:r>
              <w:rPr>
                <w:rFonts w:hint="eastAsia" w:ascii="宋体" w:hAnsi="宋体" w:eastAsia="宋体" w:cs="宋体"/>
                <w:color w:val="000000"/>
                <w:sz w:val="21"/>
                <w:szCs w:val="21"/>
                <w:u w:val="none"/>
                <w:lang w:val="en-US" w:eastAsia="zh-CN" w:bidi="ar"/>
              </w:rPr>
              <w:t>ALT,TP,ALB</w:t>
            </w:r>
            <w:r>
              <w:rPr>
                <w:rStyle w:val="236"/>
                <w:rFonts w:hint="eastAsia" w:ascii="宋体" w:hAnsi="宋体" w:eastAsia="宋体" w:cs="宋体"/>
                <w:sz w:val="21"/>
                <w:szCs w:val="21"/>
                <w:lang w:val="en-US" w:eastAsia="zh-CN" w:bidi="ar"/>
              </w:rPr>
              <w:t>）</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1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14.38 </w:t>
            </w:r>
          </w:p>
        </w:tc>
      </w:tr>
      <w:tr w14:paraId="7272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6D99B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5E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肝功</w:t>
            </w:r>
            <w:r>
              <w:rPr>
                <w:rFonts w:hint="eastAsia" w:ascii="宋体" w:hAnsi="宋体" w:eastAsia="宋体" w:cs="宋体"/>
                <w:color w:val="000000"/>
                <w:sz w:val="21"/>
                <w:szCs w:val="21"/>
                <w:u w:val="none"/>
                <w:lang w:val="en-US" w:eastAsia="zh-CN" w:bidi="ar"/>
              </w:rPr>
              <w:t>5</w:t>
            </w:r>
            <w:r>
              <w:rPr>
                <w:rStyle w:val="236"/>
                <w:rFonts w:hint="eastAsia" w:ascii="宋体" w:hAnsi="宋体" w:eastAsia="宋体" w:cs="宋体"/>
                <w:sz w:val="21"/>
                <w:szCs w:val="21"/>
                <w:lang w:val="en-US" w:eastAsia="zh-CN" w:bidi="ar"/>
              </w:rPr>
              <w:t>项（三项</w:t>
            </w:r>
            <w:r>
              <w:rPr>
                <w:rStyle w:val="237"/>
                <w:rFonts w:hint="eastAsia" w:ascii="宋体" w:hAnsi="宋体" w:eastAsia="宋体" w:cs="宋体"/>
                <w:sz w:val="21"/>
                <w:szCs w:val="21"/>
                <w:lang w:val="en-US" w:eastAsia="zh-CN" w:bidi="ar"/>
              </w:rPr>
              <w:t>+AST,γ-GT</w:t>
            </w:r>
            <w:r>
              <w:rPr>
                <w:rStyle w:val="236"/>
                <w:rFonts w:hint="eastAsia" w:ascii="宋体" w:hAnsi="宋体" w:eastAsia="宋体" w:cs="宋体"/>
                <w:sz w:val="21"/>
                <w:szCs w:val="21"/>
                <w:lang w:val="en-US" w:eastAsia="zh-CN" w:bidi="ar"/>
              </w:rPr>
              <w:t>）</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C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22.84 </w:t>
            </w:r>
          </w:p>
        </w:tc>
      </w:tr>
      <w:tr w14:paraId="3262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68E81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4E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胆红素三项：总胆红素、直接胆红素、间接胆红素</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D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8.46 </w:t>
            </w:r>
          </w:p>
        </w:tc>
      </w:tr>
      <w:tr w14:paraId="06DFB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711C4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68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肾功四项：血糖、尿素、尿酸、肌酐</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C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 </w:t>
            </w:r>
          </w:p>
        </w:tc>
      </w:tr>
      <w:tr w14:paraId="6BD3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3C23F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19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血脂</w:t>
            </w:r>
            <w:r>
              <w:rPr>
                <w:rFonts w:hint="eastAsia" w:ascii="宋体" w:hAnsi="宋体" w:eastAsia="宋体" w:cs="宋体"/>
                <w:color w:val="000000"/>
                <w:sz w:val="21"/>
                <w:szCs w:val="21"/>
                <w:u w:val="none"/>
                <w:lang w:val="en-US" w:eastAsia="zh-CN" w:bidi="ar"/>
              </w:rPr>
              <w:t>4</w:t>
            </w:r>
            <w:r>
              <w:rPr>
                <w:rStyle w:val="236"/>
                <w:rFonts w:hint="eastAsia" w:ascii="宋体" w:hAnsi="宋体" w:eastAsia="宋体" w:cs="宋体"/>
                <w:sz w:val="21"/>
                <w:szCs w:val="21"/>
                <w:lang w:val="en-US" w:eastAsia="zh-CN" w:bidi="ar"/>
              </w:rPr>
              <w:t>项：总胆固醇、甘油三酯、高密度脂蛋白、低密度脂蛋白</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8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27.07 </w:t>
            </w:r>
          </w:p>
        </w:tc>
      </w:tr>
      <w:tr w14:paraId="5023E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42" w:type="dxa"/>
            <w:tcBorders>
              <w:top w:val="nil"/>
              <w:left w:val="single" w:color="000000" w:sz="4" w:space="0"/>
              <w:bottom w:val="single" w:color="auto" w:sz="4" w:space="0"/>
              <w:right w:val="single" w:color="000000" w:sz="4" w:space="0"/>
            </w:tcBorders>
            <w:shd w:val="clear" w:color="auto" w:fill="auto"/>
            <w:vAlign w:val="center"/>
          </w:tcPr>
          <w:p w14:paraId="64317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FD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心肌酶三项：肌红蛋白、肌酸激酶同工酶</w:t>
            </w:r>
            <w:r>
              <w:rPr>
                <w:rFonts w:hint="eastAsia" w:ascii="宋体" w:hAnsi="宋体" w:eastAsia="宋体" w:cs="宋体"/>
                <w:color w:val="000000"/>
                <w:sz w:val="21"/>
                <w:szCs w:val="21"/>
                <w:u w:val="none"/>
                <w:lang w:val="en-US" w:eastAsia="zh-CN" w:bidi="ar"/>
              </w:rPr>
              <w:t>MB</w:t>
            </w:r>
            <w:r>
              <w:rPr>
                <w:rStyle w:val="236"/>
                <w:rFonts w:hint="eastAsia" w:ascii="宋体" w:hAnsi="宋体" w:eastAsia="宋体" w:cs="宋体"/>
                <w:sz w:val="21"/>
                <w:szCs w:val="21"/>
                <w:lang w:val="en-US" w:eastAsia="zh-CN" w:bidi="ar"/>
              </w:rPr>
              <w:t>、肌钙蛋白（金标法）</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9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153.97 </w:t>
            </w:r>
          </w:p>
        </w:tc>
      </w:tr>
      <w:tr w14:paraId="5E3E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3492B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986" w:type="dxa"/>
            <w:tcBorders>
              <w:top w:val="single" w:color="000000" w:sz="4" w:space="0"/>
              <w:left w:val="single" w:color="auto" w:sz="4" w:space="0"/>
              <w:bottom w:val="single" w:color="000000" w:sz="4" w:space="0"/>
              <w:right w:val="single" w:color="000000" w:sz="4" w:space="0"/>
            </w:tcBorders>
            <w:shd w:val="clear" w:color="auto" w:fill="auto"/>
            <w:vAlign w:val="center"/>
          </w:tcPr>
          <w:p w14:paraId="06A85B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传染病四项：乙肝表面抗原，丙肝抗体、艾滋病毒抗体、梅毒抗体（金标法）</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D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95.88 </w:t>
            </w:r>
          </w:p>
        </w:tc>
      </w:tr>
      <w:tr w14:paraId="6DD0A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4" w:space="0"/>
              <w:left w:val="single" w:color="000000" w:sz="4" w:space="0"/>
              <w:bottom w:val="single" w:color="auto" w:sz="4" w:space="0"/>
              <w:right w:val="single" w:color="000000" w:sz="4" w:space="0"/>
            </w:tcBorders>
            <w:shd w:val="clear" w:color="auto" w:fill="auto"/>
            <w:vAlign w:val="center"/>
          </w:tcPr>
          <w:p w14:paraId="1AAD7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CF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甲、乙流感抗原筛查</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2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69.00 </w:t>
            </w:r>
          </w:p>
        </w:tc>
      </w:tr>
      <w:tr w14:paraId="7880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38CC3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986" w:type="dxa"/>
            <w:tcBorders>
              <w:top w:val="single" w:color="000000" w:sz="4" w:space="0"/>
              <w:left w:val="single" w:color="auto" w:sz="4" w:space="0"/>
              <w:bottom w:val="single" w:color="000000" w:sz="4" w:space="0"/>
              <w:right w:val="single" w:color="000000" w:sz="4" w:space="0"/>
            </w:tcBorders>
            <w:shd w:val="clear" w:color="auto" w:fill="auto"/>
            <w:vAlign w:val="center"/>
          </w:tcPr>
          <w:p w14:paraId="4E0ECC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淀粉酶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0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8.46 </w:t>
            </w:r>
          </w:p>
        </w:tc>
      </w:tr>
      <w:tr w14:paraId="04F8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4" w:space="0"/>
              <w:left w:val="single" w:color="000000" w:sz="4" w:space="0"/>
              <w:bottom w:val="single" w:color="000000" w:sz="4" w:space="0"/>
              <w:right w:val="single" w:color="000000" w:sz="4" w:space="0"/>
            </w:tcBorders>
            <w:shd w:val="clear" w:color="auto" w:fill="auto"/>
            <w:vAlign w:val="center"/>
          </w:tcPr>
          <w:p w14:paraId="52D14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22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糖化血红蛋白</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F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27.00 </w:t>
            </w:r>
          </w:p>
        </w:tc>
      </w:tr>
      <w:tr w14:paraId="7BCB5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6D99F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5B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肿瘤标志物</w:t>
            </w:r>
            <w:r>
              <w:rPr>
                <w:rFonts w:hint="eastAsia" w:ascii="宋体" w:hAnsi="宋体" w:eastAsia="宋体" w:cs="宋体"/>
                <w:color w:val="000000"/>
                <w:sz w:val="21"/>
                <w:szCs w:val="21"/>
                <w:u w:val="none"/>
                <w:lang w:val="en-US" w:eastAsia="zh-CN" w:bidi="ar"/>
              </w:rPr>
              <w:t>3</w:t>
            </w:r>
            <w:r>
              <w:rPr>
                <w:rStyle w:val="236"/>
                <w:rFonts w:hint="eastAsia" w:ascii="宋体" w:hAnsi="宋体" w:eastAsia="宋体" w:cs="宋体"/>
                <w:sz w:val="21"/>
                <w:szCs w:val="21"/>
                <w:lang w:val="en-US" w:eastAsia="zh-CN" w:bidi="ar"/>
              </w:rPr>
              <w:t>项</w:t>
            </w:r>
            <w:r>
              <w:rPr>
                <w:rFonts w:hint="eastAsia" w:ascii="宋体" w:hAnsi="宋体" w:eastAsia="宋体" w:cs="宋体"/>
                <w:color w:val="000000"/>
                <w:sz w:val="21"/>
                <w:szCs w:val="21"/>
                <w:u w:val="none"/>
                <w:lang w:val="en-US" w:eastAsia="zh-CN" w:bidi="ar"/>
              </w:rPr>
              <w:t>(AFP</w:t>
            </w:r>
            <w:r>
              <w:rPr>
                <w:rStyle w:val="236"/>
                <w:rFonts w:hint="eastAsia" w:ascii="宋体" w:hAnsi="宋体" w:eastAsia="宋体" w:cs="宋体"/>
                <w:sz w:val="21"/>
                <w:szCs w:val="21"/>
                <w:lang w:val="en-US" w:eastAsia="zh-CN" w:bidi="ar"/>
              </w:rPr>
              <w:t>、</w:t>
            </w:r>
            <w:r>
              <w:rPr>
                <w:rFonts w:hint="eastAsia" w:ascii="宋体" w:hAnsi="宋体" w:eastAsia="宋体" w:cs="宋体"/>
                <w:color w:val="000000"/>
                <w:sz w:val="21"/>
                <w:szCs w:val="21"/>
                <w:u w:val="none"/>
                <w:lang w:val="en-US" w:eastAsia="zh-CN" w:bidi="ar"/>
              </w:rPr>
              <w:t>CEA</w:t>
            </w:r>
            <w:r>
              <w:rPr>
                <w:rStyle w:val="236"/>
                <w:rFonts w:hint="eastAsia" w:ascii="宋体" w:hAnsi="宋体" w:eastAsia="宋体" w:cs="宋体"/>
                <w:sz w:val="21"/>
                <w:szCs w:val="21"/>
                <w:lang w:val="en-US" w:eastAsia="zh-CN" w:bidi="ar"/>
              </w:rPr>
              <w:t>、</w:t>
            </w:r>
            <w:r>
              <w:rPr>
                <w:rFonts w:hint="eastAsia" w:ascii="宋体" w:hAnsi="宋体" w:eastAsia="宋体" w:cs="宋体"/>
                <w:color w:val="000000"/>
                <w:sz w:val="21"/>
                <w:szCs w:val="21"/>
                <w:u w:val="none"/>
                <w:lang w:val="en-US" w:eastAsia="zh-CN" w:bidi="ar"/>
              </w:rPr>
              <w:t>CA199)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1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78.68 </w:t>
            </w:r>
          </w:p>
        </w:tc>
      </w:tr>
      <w:tr w14:paraId="3D649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7052B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06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肿瘤标志物五项（</w:t>
            </w:r>
            <w:r>
              <w:rPr>
                <w:rFonts w:hint="eastAsia" w:ascii="宋体" w:hAnsi="宋体" w:eastAsia="宋体" w:cs="宋体"/>
                <w:color w:val="000000"/>
                <w:sz w:val="21"/>
                <w:szCs w:val="21"/>
                <w:u w:val="none"/>
                <w:lang w:val="en-US" w:eastAsia="zh-CN" w:bidi="ar"/>
              </w:rPr>
              <w:t>AFP,CEA,CA199</w:t>
            </w:r>
            <w:r>
              <w:rPr>
                <w:rStyle w:val="236"/>
                <w:rFonts w:hint="eastAsia" w:ascii="宋体" w:hAnsi="宋体" w:eastAsia="宋体" w:cs="宋体"/>
                <w:sz w:val="21"/>
                <w:szCs w:val="21"/>
                <w:lang w:val="en-US" w:eastAsia="zh-CN" w:bidi="ar"/>
              </w:rPr>
              <w:t>，</w:t>
            </w:r>
            <w:r>
              <w:rPr>
                <w:rFonts w:hint="eastAsia" w:ascii="宋体" w:hAnsi="宋体" w:eastAsia="宋体" w:cs="宋体"/>
                <w:color w:val="000000"/>
                <w:sz w:val="21"/>
                <w:szCs w:val="21"/>
                <w:u w:val="none"/>
                <w:lang w:val="en-US" w:eastAsia="zh-CN" w:bidi="ar"/>
              </w:rPr>
              <w:t>CA153</w:t>
            </w:r>
            <w:r>
              <w:rPr>
                <w:rStyle w:val="236"/>
                <w:rFonts w:hint="eastAsia" w:ascii="宋体" w:hAnsi="宋体" w:eastAsia="宋体" w:cs="宋体"/>
                <w:sz w:val="21"/>
                <w:szCs w:val="21"/>
                <w:lang w:val="en-US" w:eastAsia="zh-CN" w:bidi="ar"/>
              </w:rPr>
              <w:t>，</w:t>
            </w:r>
            <w:r>
              <w:rPr>
                <w:rFonts w:hint="eastAsia" w:ascii="宋体" w:hAnsi="宋体" w:eastAsia="宋体" w:cs="宋体"/>
                <w:color w:val="000000"/>
                <w:sz w:val="21"/>
                <w:szCs w:val="21"/>
                <w:u w:val="none"/>
                <w:lang w:val="en-US" w:eastAsia="zh-CN" w:bidi="ar"/>
              </w:rPr>
              <w:t>TPSA</w:t>
            </w:r>
            <w:r>
              <w:rPr>
                <w:rStyle w:val="236"/>
                <w:rFonts w:hint="eastAsia" w:ascii="宋体" w:hAnsi="宋体" w:eastAsia="宋体" w:cs="宋体"/>
                <w:sz w:val="21"/>
                <w:szCs w:val="21"/>
                <w:lang w:val="en-US" w:eastAsia="zh-CN" w:bidi="ar"/>
              </w:rPr>
              <w:t>）</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7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186.68 </w:t>
            </w:r>
          </w:p>
        </w:tc>
      </w:tr>
      <w:tr w14:paraId="0E69C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4E3D1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C1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直接抗人球蛋白试验</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8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14.38 </w:t>
            </w:r>
          </w:p>
        </w:tc>
      </w:tr>
      <w:tr w14:paraId="2F056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32B9F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31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乙型肝炎病毒</w:t>
            </w:r>
            <w:r>
              <w:rPr>
                <w:rFonts w:hint="eastAsia" w:ascii="宋体" w:hAnsi="宋体" w:eastAsia="宋体" w:cs="宋体"/>
                <w:color w:val="000000"/>
                <w:sz w:val="21"/>
                <w:szCs w:val="21"/>
                <w:u w:val="none"/>
                <w:lang w:val="en-US" w:eastAsia="zh-CN" w:bidi="ar"/>
              </w:rPr>
              <w:t>(HBV)DNA</w:t>
            </w:r>
            <w:r>
              <w:rPr>
                <w:rStyle w:val="236"/>
                <w:rFonts w:hint="eastAsia" w:ascii="宋体" w:hAnsi="宋体" w:eastAsia="宋体" w:cs="宋体"/>
                <w:sz w:val="21"/>
                <w:szCs w:val="21"/>
                <w:lang w:val="en-US" w:eastAsia="zh-CN" w:bidi="ar"/>
              </w:rPr>
              <w:t>测定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6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93.06 </w:t>
            </w:r>
          </w:p>
        </w:tc>
      </w:tr>
      <w:tr w14:paraId="4128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7BEA8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90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一般细菌培养及鉴定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4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59.22 </w:t>
            </w:r>
          </w:p>
        </w:tc>
      </w:tr>
      <w:tr w14:paraId="3A03C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4B1CD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A1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血清免疫固定电泳测定</w:t>
            </w:r>
            <w:r>
              <w:rPr>
                <w:rFonts w:hint="eastAsia" w:ascii="宋体" w:hAnsi="宋体" w:eastAsia="宋体" w:cs="宋体"/>
                <w:color w:val="000000"/>
                <w:sz w:val="21"/>
                <w:szCs w:val="21"/>
                <w:u w:val="none"/>
                <w:lang w:val="en-US" w:eastAsia="zh-CN" w:bidi="ar"/>
              </w:rPr>
              <w:t>(5</w:t>
            </w:r>
            <w:r>
              <w:rPr>
                <w:rStyle w:val="236"/>
                <w:rFonts w:hint="eastAsia" w:ascii="宋体" w:hAnsi="宋体" w:eastAsia="宋体" w:cs="宋体"/>
                <w:sz w:val="21"/>
                <w:szCs w:val="21"/>
                <w:lang w:val="en-US" w:eastAsia="zh-CN" w:bidi="ar"/>
              </w:rPr>
              <w:t>项</w:t>
            </w:r>
            <w:r>
              <w:rPr>
                <w:rFonts w:hint="eastAsia" w:ascii="宋体" w:hAnsi="宋体" w:eastAsia="宋体" w:cs="宋体"/>
                <w:color w:val="000000"/>
                <w:sz w:val="21"/>
                <w:szCs w:val="21"/>
                <w:u w:val="none"/>
                <w:lang w:val="en-US" w:eastAsia="zh-CN" w:bidi="ar"/>
              </w:rPr>
              <w:t>)</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6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169.20 </w:t>
            </w:r>
          </w:p>
        </w:tc>
      </w:tr>
      <w:tr w14:paraId="67B4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38DD1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56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血管炎四项</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F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203.04 </w:t>
            </w:r>
          </w:p>
        </w:tc>
      </w:tr>
      <w:tr w14:paraId="5940E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2ABC6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2F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血氨（</w:t>
            </w:r>
            <w:r>
              <w:rPr>
                <w:rFonts w:hint="eastAsia" w:ascii="宋体" w:hAnsi="宋体" w:eastAsia="宋体" w:cs="宋体"/>
                <w:color w:val="000000"/>
                <w:sz w:val="21"/>
                <w:szCs w:val="21"/>
                <w:u w:val="none"/>
                <w:lang w:val="en-US" w:eastAsia="zh-CN" w:bidi="ar"/>
              </w:rPr>
              <w:t>AMM</w:t>
            </w:r>
            <w:r>
              <w:rPr>
                <w:rStyle w:val="236"/>
                <w:rFonts w:hint="eastAsia" w:ascii="宋体" w:hAnsi="宋体" w:eastAsia="宋体" w:cs="宋体"/>
                <w:sz w:val="21"/>
                <w:szCs w:val="21"/>
                <w:lang w:val="en-US" w:eastAsia="zh-CN" w:bidi="ar"/>
              </w:rPr>
              <w:t>）</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BF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5.64 </w:t>
            </w:r>
          </w:p>
        </w:tc>
      </w:tr>
      <w:tr w14:paraId="16248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0E99B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87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胸腹水生化</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D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16.92 </w:t>
            </w:r>
          </w:p>
        </w:tc>
      </w:tr>
      <w:tr w14:paraId="20287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2F0609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FA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胸腹水常规</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5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13.54 </w:t>
            </w:r>
          </w:p>
        </w:tc>
      </w:tr>
      <w:tr w14:paraId="69398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34465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89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心肌酶三项</w:t>
            </w:r>
            <w:r>
              <w:rPr>
                <w:rFonts w:hint="eastAsia" w:ascii="宋体" w:hAnsi="宋体" w:eastAsia="宋体" w:cs="宋体"/>
                <w:color w:val="000000"/>
                <w:sz w:val="21"/>
                <w:szCs w:val="21"/>
                <w:u w:val="none"/>
                <w:lang w:val="en-US" w:eastAsia="zh-CN" w:bidi="ar"/>
              </w:rPr>
              <w:t>(</w:t>
            </w:r>
            <w:r>
              <w:rPr>
                <w:rStyle w:val="236"/>
                <w:rFonts w:hint="eastAsia" w:ascii="宋体" w:hAnsi="宋体" w:eastAsia="宋体" w:cs="宋体"/>
                <w:sz w:val="21"/>
                <w:szCs w:val="21"/>
                <w:lang w:val="en-US" w:eastAsia="zh-CN" w:bidi="ar"/>
              </w:rPr>
              <w:t>肌钙蛋白</w:t>
            </w:r>
            <w:r>
              <w:rPr>
                <w:rFonts w:hint="eastAsia" w:ascii="宋体" w:hAnsi="宋体" w:eastAsia="宋体" w:cs="宋体"/>
                <w:color w:val="000000"/>
                <w:sz w:val="21"/>
                <w:szCs w:val="21"/>
                <w:u w:val="none"/>
                <w:lang w:val="en-US" w:eastAsia="zh-CN" w:bidi="ar"/>
              </w:rPr>
              <w:t>I</w:t>
            </w:r>
            <w:r>
              <w:rPr>
                <w:rStyle w:val="236"/>
                <w:rFonts w:hint="eastAsia" w:ascii="宋体" w:hAnsi="宋体" w:eastAsia="宋体" w:cs="宋体"/>
                <w:sz w:val="21"/>
                <w:szCs w:val="21"/>
                <w:lang w:val="en-US" w:eastAsia="zh-CN" w:bidi="ar"/>
              </w:rPr>
              <w:t>，肌酸激酶同工酶，肌红蛋白</w:t>
            </w:r>
            <w:r>
              <w:rPr>
                <w:rFonts w:hint="eastAsia" w:ascii="宋体" w:hAnsi="宋体" w:eastAsia="宋体" w:cs="宋体"/>
                <w:color w:val="000000"/>
                <w:sz w:val="21"/>
                <w:szCs w:val="21"/>
                <w:u w:val="none"/>
                <w:lang w:val="en-US" w:eastAsia="zh-CN" w:bidi="ar"/>
              </w:rPr>
              <w:t>)</w:t>
            </w:r>
            <w:r>
              <w:rPr>
                <w:rStyle w:val="236"/>
                <w:rFonts w:hint="eastAsia" w:ascii="宋体" w:hAnsi="宋体" w:eastAsia="宋体" w:cs="宋体"/>
                <w:sz w:val="21"/>
                <w:szCs w:val="21"/>
                <w:lang w:val="en-US" w:eastAsia="zh-CN" w:bidi="ar"/>
              </w:rPr>
              <w:t>定量</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4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153.97 </w:t>
            </w:r>
          </w:p>
        </w:tc>
      </w:tr>
      <w:tr w14:paraId="68115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213E4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AD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无机磷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A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4.23 </w:t>
            </w:r>
          </w:p>
        </w:tc>
      </w:tr>
      <w:tr w14:paraId="34B8A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5BB372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69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网织红细胞</w:t>
            </w:r>
            <w:r>
              <w:rPr>
                <w:rFonts w:hint="eastAsia" w:ascii="宋体" w:hAnsi="宋体" w:eastAsia="宋体" w:cs="宋体"/>
                <w:color w:val="000000"/>
                <w:sz w:val="21"/>
                <w:szCs w:val="21"/>
                <w:u w:val="none"/>
                <w:lang w:val="en-US" w:eastAsia="zh-CN" w:bidi="ar"/>
              </w:rPr>
              <w:t>+</w:t>
            </w:r>
            <w:r>
              <w:rPr>
                <w:rStyle w:val="236"/>
                <w:rFonts w:hint="eastAsia" w:ascii="宋体" w:hAnsi="宋体" w:eastAsia="宋体" w:cs="宋体"/>
                <w:sz w:val="21"/>
                <w:szCs w:val="21"/>
                <w:lang w:val="en-US" w:eastAsia="zh-CN" w:bidi="ar"/>
              </w:rPr>
              <w:t>有核红细胞检测</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8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10.34 </w:t>
            </w:r>
          </w:p>
        </w:tc>
      </w:tr>
      <w:tr w14:paraId="1E35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1D928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9E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涂片找抗酸杆菌</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8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10.15 </w:t>
            </w:r>
          </w:p>
        </w:tc>
      </w:tr>
      <w:tr w14:paraId="49AB1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5CF4D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C9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同型半胱氨酸</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4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43.15 </w:t>
            </w:r>
          </w:p>
        </w:tc>
      </w:tr>
      <w:tr w14:paraId="436DE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9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91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糖尿病抗体三项（</w:t>
            </w:r>
            <w:r>
              <w:rPr>
                <w:rFonts w:hint="eastAsia" w:ascii="宋体" w:hAnsi="宋体" w:eastAsia="宋体" w:cs="宋体"/>
                <w:color w:val="000000"/>
                <w:sz w:val="21"/>
                <w:szCs w:val="21"/>
                <w:u w:val="none"/>
                <w:lang w:val="en-US" w:eastAsia="zh-CN" w:bidi="ar"/>
              </w:rPr>
              <w:t>IAA,GAD-Ab,ICA</w:t>
            </w:r>
            <w:r>
              <w:rPr>
                <w:rStyle w:val="236"/>
                <w:rFonts w:hint="eastAsia" w:ascii="宋体" w:hAnsi="宋体" w:eastAsia="宋体" w:cs="宋体"/>
                <w:sz w:val="21"/>
                <w:szCs w:val="21"/>
                <w:lang w:val="en-US" w:eastAsia="zh-CN" w:bidi="ar"/>
              </w:rPr>
              <w:t>）</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7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77.83 </w:t>
            </w:r>
          </w:p>
        </w:tc>
      </w:tr>
      <w:tr w14:paraId="47652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0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CB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他克莫司</w:t>
            </w:r>
            <w:r>
              <w:rPr>
                <w:rFonts w:hint="eastAsia" w:ascii="宋体" w:hAnsi="宋体" w:eastAsia="宋体" w:cs="宋体"/>
                <w:color w:val="000000"/>
                <w:sz w:val="21"/>
                <w:szCs w:val="21"/>
                <w:u w:val="none"/>
                <w:lang w:val="en-US" w:eastAsia="zh-CN" w:bidi="ar"/>
              </w:rPr>
              <w:t>(</w:t>
            </w:r>
            <w:r>
              <w:rPr>
                <w:rStyle w:val="236"/>
                <w:rFonts w:hint="eastAsia" w:ascii="宋体" w:hAnsi="宋体" w:eastAsia="宋体" w:cs="宋体"/>
                <w:sz w:val="21"/>
                <w:szCs w:val="21"/>
                <w:lang w:val="en-US" w:eastAsia="zh-CN" w:bidi="ar"/>
              </w:rPr>
              <w:t>普乐可复</w:t>
            </w:r>
            <w:r>
              <w:rPr>
                <w:rFonts w:hint="eastAsia" w:ascii="宋体" w:hAnsi="宋体" w:eastAsia="宋体" w:cs="宋体"/>
                <w:color w:val="000000"/>
                <w:sz w:val="21"/>
                <w:szCs w:val="21"/>
                <w:u w:val="none"/>
                <w:lang w:val="en-US" w:eastAsia="zh-CN" w:bidi="ar"/>
              </w:rPr>
              <w:t>)</w:t>
            </w:r>
            <w:r>
              <w:rPr>
                <w:rStyle w:val="236"/>
                <w:rFonts w:hint="eastAsia" w:ascii="宋体" w:hAnsi="宋体" w:eastAsia="宋体" w:cs="宋体"/>
                <w:sz w:val="21"/>
                <w:szCs w:val="21"/>
                <w:lang w:val="en-US" w:eastAsia="zh-CN" w:bidi="ar"/>
              </w:rPr>
              <w:t>（质谱法</w:t>
            </w:r>
            <w:r>
              <w:rPr>
                <w:rFonts w:hint="eastAsia" w:ascii="宋体" w:hAnsi="宋体" w:eastAsia="宋体" w:cs="宋体"/>
                <w:color w:val="000000"/>
                <w:sz w:val="21"/>
                <w:szCs w:val="21"/>
                <w:u w:val="none"/>
                <w:lang w:val="en-US" w:eastAsia="zh-CN" w:bidi="ar"/>
              </w:rPr>
              <w:t>)</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B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84.60 </w:t>
            </w:r>
          </w:p>
        </w:tc>
      </w:tr>
      <w:tr w14:paraId="4667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F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41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水痘带状疱疹病毒</w:t>
            </w:r>
            <w:r>
              <w:rPr>
                <w:rFonts w:hint="eastAsia" w:ascii="宋体" w:hAnsi="宋体" w:eastAsia="宋体" w:cs="宋体"/>
                <w:color w:val="000000"/>
                <w:sz w:val="21"/>
                <w:szCs w:val="21"/>
                <w:u w:val="none"/>
                <w:lang w:val="en-US" w:eastAsia="zh-CN" w:bidi="ar"/>
              </w:rPr>
              <w:t>IgG+IgM</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3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48.88 </w:t>
            </w:r>
          </w:p>
        </w:tc>
      </w:tr>
      <w:tr w14:paraId="7175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B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2E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人类白细胞抗原</w:t>
            </w:r>
            <w:r>
              <w:rPr>
                <w:rFonts w:hint="eastAsia" w:ascii="宋体" w:hAnsi="宋体" w:eastAsia="宋体" w:cs="宋体"/>
                <w:color w:val="000000"/>
                <w:sz w:val="21"/>
                <w:szCs w:val="21"/>
                <w:u w:val="none"/>
                <w:lang w:val="en-US" w:eastAsia="zh-CN" w:bidi="ar"/>
              </w:rPr>
              <w:t>-B27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C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93.06 </w:t>
            </w:r>
          </w:p>
        </w:tc>
      </w:tr>
      <w:tr w14:paraId="3691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405BC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62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葡萄糖</w:t>
            </w:r>
            <w:r>
              <w:rPr>
                <w:rFonts w:hint="eastAsia" w:ascii="宋体" w:hAnsi="宋体" w:eastAsia="宋体" w:cs="宋体"/>
                <w:color w:val="000000"/>
                <w:sz w:val="21"/>
                <w:szCs w:val="21"/>
                <w:u w:val="none"/>
                <w:lang w:val="en-US" w:eastAsia="zh-CN" w:bidi="ar"/>
              </w:rPr>
              <w:t>6</w:t>
            </w:r>
            <w:r>
              <w:rPr>
                <w:rStyle w:val="236"/>
                <w:rFonts w:hint="eastAsia" w:ascii="宋体" w:hAnsi="宋体" w:eastAsia="宋体" w:cs="宋体"/>
                <w:sz w:val="21"/>
                <w:szCs w:val="21"/>
                <w:lang w:val="en-US" w:eastAsia="zh-CN" w:bidi="ar"/>
              </w:rPr>
              <w:t>磷酸脱氢酶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6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10.15 </w:t>
            </w:r>
          </w:p>
        </w:tc>
      </w:tr>
      <w:tr w14:paraId="4FB4A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28806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98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贫血3项(铁蛋白，叶酸，维生素B12)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1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38.07 </w:t>
            </w:r>
          </w:p>
        </w:tc>
      </w:tr>
      <w:tr w14:paraId="7B9D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5A225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52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凝血四项</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D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74.45 </w:t>
            </w:r>
          </w:p>
        </w:tc>
      </w:tr>
      <w:tr w14:paraId="1D52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6CBDF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F8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免疫球蛋白五项</w:t>
            </w:r>
            <w:r>
              <w:rPr>
                <w:rFonts w:hint="eastAsia" w:ascii="宋体" w:hAnsi="宋体" w:eastAsia="宋体" w:cs="宋体"/>
                <w:color w:val="000000"/>
                <w:sz w:val="21"/>
                <w:szCs w:val="21"/>
                <w:u w:val="none"/>
                <w:lang w:val="en-US" w:eastAsia="zh-CN" w:bidi="ar"/>
              </w:rPr>
              <w:t>(IgG</w:t>
            </w:r>
            <w:r>
              <w:rPr>
                <w:rStyle w:val="236"/>
                <w:rFonts w:hint="eastAsia" w:ascii="宋体" w:hAnsi="宋体" w:eastAsia="宋体" w:cs="宋体"/>
                <w:sz w:val="21"/>
                <w:szCs w:val="21"/>
                <w:lang w:val="en-US" w:eastAsia="zh-CN" w:bidi="ar"/>
              </w:rPr>
              <w:t>、</w:t>
            </w:r>
            <w:r>
              <w:rPr>
                <w:rFonts w:hint="eastAsia" w:ascii="宋体" w:hAnsi="宋体" w:eastAsia="宋体" w:cs="宋体"/>
                <w:color w:val="000000"/>
                <w:sz w:val="21"/>
                <w:szCs w:val="21"/>
                <w:u w:val="none"/>
                <w:lang w:val="en-US" w:eastAsia="zh-CN" w:bidi="ar"/>
              </w:rPr>
              <w:t>IgA</w:t>
            </w:r>
            <w:r>
              <w:rPr>
                <w:rStyle w:val="236"/>
                <w:rFonts w:hint="eastAsia" w:ascii="宋体" w:hAnsi="宋体" w:eastAsia="宋体" w:cs="宋体"/>
                <w:sz w:val="21"/>
                <w:szCs w:val="21"/>
                <w:lang w:val="en-US" w:eastAsia="zh-CN" w:bidi="ar"/>
              </w:rPr>
              <w:t>、</w:t>
            </w:r>
            <w:r>
              <w:rPr>
                <w:rFonts w:hint="eastAsia" w:ascii="宋体" w:hAnsi="宋体" w:eastAsia="宋体" w:cs="宋体"/>
                <w:color w:val="000000"/>
                <w:sz w:val="21"/>
                <w:szCs w:val="21"/>
                <w:u w:val="none"/>
                <w:lang w:val="en-US" w:eastAsia="zh-CN" w:bidi="ar"/>
              </w:rPr>
              <w:t>IgM</w:t>
            </w:r>
            <w:r>
              <w:rPr>
                <w:rStyle w:val="236"/>
                <w:rFonts w:hint="eastAsia" w:ascii="宋体" w:hAnsi="宋体" w:eastAsia="宋体" w:cs="宋体"/>
                <w:sz w:val="21"/>
                <w:szCs w:val="21"/>
                <w:lang w:val="en-US" w:eastAsia="zh-CN" w:bidi="ar"/>
              </w:rPr>
              <w:t>、</w:t>
            </w:r>
            <w:r>
              <w:rPr>
                <w:rFonts w:hint="eastAsia" w:ascii="宋体" w:hAnsi="宋体" w:eastAsia="宋体" w:cs="宋体"/>
                <w:color w:val="000000"/>
                <w:sz w:val="21"/>
                <w:szCs w:val="21"/>
                <w:u w:val="none"/>
                <w:lang w:val="en-US" w:eastAsia="zh-CN" w:bidi="ar"/>
              </w:rPr>
              <w:t>C3</w:t>
            </w:r>
            <w:r>
              <w:rPr>
                <w:rStyle w:val="236"/>
                <w:rFonts w:hint="eastAsia" w:ascii="宋体" w:hAnsi="宋体" w:eastAsia="宋体" w:cs="宋体"/>
                <w:sz w:val="21"/>
                <w:szCs w:val="21"/>
                <w:lang w:val="en-US" w:eastAsia="zh-CN" w:bidi="ar"/>
              </w:rPr>
              <w:t>和</w:t>
            </w:r>
            <w:r>
              <w:rPr>
                <w:rFonts w:hint="eastAsia" w:ascii="宋体" w:hAnsi="宋体" w:eastAsia="宋体" w:cs="宋体"/>
                <w:color w:val="000000"/>
                <w:sz w:val="21"/>
                <w:szCs w:val="21"/>
                <w:u w:val="none"/>
                <w:lang w:val="en-US" w:eastAsia="zh-CN" w:bidi="ar"/>
              </w:rPr>
              <w:t>C4)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2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50.76 </w:t>
            </w:r>
          </w:p>
        </w:tc>
      </w:tr>
      <w:tr w14:paraId="25596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64966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1B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梅毒甲苯胺红不加热血清试验</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E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11.84 </w:t>
            </w:r>
          </w:p>
        </w:tc>
      </w:tr>
      <w:tr w14:paraId="0064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03F434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03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类风湿因子</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2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17.77 </w:t>
            </w:r>
          </w:p>
        </w:tc>
      </w:tr>
      <w:tr w14:paraId="6A192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5769E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8E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抗核抗体</w:t>
            </w:r>
            <w:r>
              <w:rPr>
                <w:rFonts w:hint="eastAsia" w:ascii="宋体" w:hAnsi="宋体" w:eastAsia="宋体" w:cs="宋体"/>
                <w:color w:val="000000"/>
                <w:sz w:val="21"/>
                <w:szCs w:val="21"/>
                <w:u w:val="none"/>
                <w:lang w:val="en-US" w:eastAsia="zh-CN" w:bidi="ar"/>
              </w:rPr>
              <w:t>4</w:t>
            </w:r>
            <w:r>
              <w:rPr>
                <w:rStyle w:val="236"/>
                <w:rFonts w:hint="eastAsia" w:ascii="宋体" w:hAnsi="宋体" w:eastAsia="宋体" w:cs="宋体"/>
                <w:sz w:val="21"/>
                <w:szCs w:val="21"/>
                <w:lang w:val="en-US" w:eastAsia="zh-CN" w:bidi="ar"/>
              </w:rPr>
              <w:t>项</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E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34.69 </w:t>
            </w:r>
          </w:p>
        </w:tc>
      </w:tr>
      <w:tr w14:paraId="44ABF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76208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09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结核分枝杆菌脱氧核糖核酸测定（</w:t>
            </w:r>
            <w:r>
              <w:rPr>
                <w:rFonts w:hint="eastAsia" w:ascii="宋体" w:hAnsi="宋体" w:eastAsia="宋体" w:cs="宋体"/>
                <w:color w:val="000000"/>
                <w:sz w:val="21"/>
                <w:szCs w:val="21"/>
                <w:u w:val="none"/>
                <w:lang w:val="en-US" w:eastAsia="zh-CN" w:bidi="ar"/>
              </w:rPr>
              <w:t>TB DNA</w:t>
            </w:r>
            <w:r>
              <w:rPr>
                <w:rStyle w:val="236"/>
                <w:rFonts w:hint="eastAsia" w:ascii="宋体" w:hAnsi="宋体" w:eastAsia="宋体" w:cs="宋体"/>
                <w:sz w:val="21"/>
                <w:szCs w:val="21"/>
                <w:lang w:val="en-US" w:eastAsia="zh-CN" w:bidi="ar"/>
              </w:rPr>
              <w:t>）</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B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67.68 </w:t>
            </w:r>
          </w:p>
        </w:tc>
      </w:tr>
      <w:tr w14:paraId="53A4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373FB2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FC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结核分枝杆菌抗体</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2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38.92 </w:t>
            </w:r>
          </w:p>
        </w:tc>
      </w:tr>
      <w:tr w14:paraId="4B1A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39529A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83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间接抗人球蛋白试验</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6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10.15 </w:t>
            </w:r>
          </w:p>
        </w:tc>
      </w:tr>
      <w:tr w14:paraId="09A6C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2BAE5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9B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甲功3项(FT3，FT4，TSH)</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0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130.28 </w:t>
            </w:r>
          </w:p>
        </w:tc>
      </w:tr>
      <w:tr w14:paraId="2CD0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2768A7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80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甲功5项：FT3，FT4，rT3，TSH,TAGb</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3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226.72 </w:t>
            </w:r>
          </w:p>
        </w:tc>
      </w:tr>
      <w:tr w14:paraId="197DD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4DA7D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EC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甲功7项（甲功5项，MCA,TRAb）</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7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307.94 </w:t>
            </w:r>
          </w:p>
        </w:tc>
      </w:tr>
      <w:tr w14:paraId="0ACBC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0CFF2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37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甲胎蛋白</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6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31.50 </w:t>
            </w:r>
          </w:p>
        </w:tc>
      </w:tr>
      <w:tr w14:paraId="284C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29421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92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风湿4项(AS0、RF、CRP、CCP)</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5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142.88 </w:t>
            </w:r>
          </w:p>
        </w:tc>
      </w:tr>
      <w:tr w14:paraId="10D4D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4DC4C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F3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电解质</w:t>
            </w:r>
            <w:r>
              <w:rPr>
                <w:rFonts w:hint="eastAsia" w:ascii="宋体" w:hAnsi="宋体" w:eastAsia="宋体" w:cs="宋体"/>
                <w:color w:val="000000"/>
                <w:sz w:val="21"/>
                <w:szCs w:val="21"/>
                <w:u w:val="none"/>
                <w:lang w:val="en-US" w:eastAsia="zh-CN" w:bidi="ar"/>
              </w:rPr>
              <w:t>5</w:t>
            </w:r>
            <w:r>
              <w:rPr>
                <w:rStyle w:val="236"/>
                <w:rFonts w:hint="eastAsia" w:ascii="宋体" w:hAnsi="宋体" w:eastAsia="宋体" w:cs="宋体"/>
                <w:sz w:val="21"/>
                <w:szCs w:val="21"/>
                <w:lang w:val="en-US" w:eastAsia="zh-CN" w:bidi="ar"/>
              </w:rPr>
              <w:t>项</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B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23.50 </w:t>
            </w:r>
          </w:p>
        </w:tc>
      </w:tr>
      <w:tr w14:paraId="2FEC5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424F2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CE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地中海贫血</w:t>
            </w:r>
            <w:r>
              <w:rPr>
                <w:rFonts w:hint="eastAsia" w:ascii="宋体" w:hAnsi="宋体" w:eastAsia="宋体" w:cs="宋体"/>
                <w:color w:val="000000"/>
                <w:sz w:val="21"/>
                <w:szCs w:val="21"/>
                <w:u w:val="none"/>
                <w:lang w:val="en-US" w:eastAsia="zh-CN" w:bidi="ar"/>
              </w:rPr>
              <w:t>α</w:t>
            </w:r>
            <w:r>
              <w:rPr>
                <w:rStyle w:val="236"/>
                <w:rFonts w:hint="eastAsia" w:ascii="宋体" w:hAnsi="宋体" w:eastAsia="宋体" w:cs="宋体"/>
                <w:sz w:val="21"/>
                <w:szCs w:val="21"/>
                <w:lang w:val="en-US" w:eastAsia="zh-CN" w:bidi="ar"/>
              </w:rPr>
              <w:t>、</w:t>
            </w:r>
            <w:r>
              <w:rPr>
                <w:rFonts w:hint="eastAsia" w:ascii="宋体" w:hAnsi="宋体" w:eastAsia="宋体" w:cs="宋体"/>
                <w:color w:val="000000"/>
                <w:sz w:val="21"/>
                <w:szCs w:val="21"/>
                <w:u w:val="none"/>
                <w:lang w:val="en-US" w:eastAsia="zh-CN" w:bidi="ar"/>
              </w:rPr>
              <w:t>β</w:t>
            </w:r>
            <w:r>
              <w:rPr>
                <w:rStyle w:val="236"/>
                <w:rFonts w:hint="eastAsia" w:ascii="宋体" w:hAnsi="宋体" w:eastAsia="宋体" w:cs="宋体"/>
                <w:sz w:val="21"/>
                <w:szCs w:val="21"/>
                <w:lang w:val="en-US" w:eastAsia="zh-CN" w:bidi="ar"/>
              </w:rPr>
              <w:t>基因</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1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307.38 </w:t>
            </w:r>
          </w:p>
        </w:tc>
      </w:tr>
      <w:tr w14:paraId="6080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6734C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5C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地高辛浓度检测</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0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59.52 </w:t>
            </w:r>
          </w:p>
        </w:tc>
      </w:tr>
      <w:tr w14:paraId="4D9B8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1A7CF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2F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降钙素CT</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B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48.22 </w:t>
            </w:r>
          </w:p>
        </w:tc>
      </w:tr>
      <w:tr w14:paraId="251E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auto" w:sz="4" w:space="0"/>
              <w:right w:val="single" w:color="000000" w:sz="4" w:space="0"/>
            </w:tcBorders>
            <w:shd w:val="clear" w:color="auto" w:fill="auto"/>
            <w:vAlign w:val="center"/>
          </w:tcPr>
          <w:p w14:paraId="29197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C9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丙型肝炎病毒核酸</w:t>
            </w:r>
            <w:r>
              <w:rPr>
                <w:rFonts w:hint="eastAsia" w:ascii="宋体" w:hAnsi="宋体" w:eastAsia="宋体" w:cs="宋体"/>
                <w:color w:val="000000"/>
                <w:sz w:val="21"/>
                <w:szCs w:val="21"/>
                <w:u w:val="none"/>
                <w:lang w:val="en-US" w:eastAsia="zh-CN" w:bidi="ar"/>
              </w:rPr>
              <w:t>(HCV RNA)</w:t>
            </w:r>
            <w:r>
              <w:rPr>
                <w:rStyle w:val="236"/>
                <w:rFonts w:hint="eastAsia" w:ascii="宋体" w:hAnsi="宋体" w:eastAsia="宋体" w:cs="宋体"/>
                <w:sz w:val="21"/>
                <w:szCs w:val="21"/>
                <w:lang w:val="en-US" w:eastAsia="zh-CN" w:bidi="ar"/>
              </w:rPr>
              <w:t>测定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3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71.91 </w:t>
            </w:r>
          </w:p>
        </w:tc>
      </w:tr>
      <w:tr w14:paraId="617E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511E0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6986" w:type="dxa"/>
            <w:tcBorders>
              <w:top w:val="single" w:color="000000" w:sz="4" w:space="0"/>
              <w:left w:val="single" w:color="auto" w:sz="4" w:space="0"/>
              <w:bottom w:val="single" w:color="000000" w:sz="4" w:space="0"/>
              <w:right w:val="single" w:color="000000" w:sz="4" w:space="0"/>
            </w:tcBorders>
            <w:shd w:val="clear" w:color="auto" w:fill="auto"/>
            <w:vAlign w:val="center"/>
          </w:tcPr>
          <w:p w14:paraId="32C2CE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丙肝基因分型</w:t>
            </w:r>
            <w:r>
              <w:rPr>
                <w:rFonts w:hint="eastAsia" w:ascii="宋体" w:hAnsi="宋体" w:eastAsia="宋体" w:cs="宋体"/>
                <w:color w:val="000000"/>
                <w:sz w:val="21"/>
                <w:szCs w:val="21"/>
                <w:u w:val="none"/>
                <w:lang w:val="en-US" w:eastAsia="zh-CN" w:bidi="ar"/>
              </w:rPr>
              <w:t>(PCR</w:t>
            </w:r>
            <w:r>
              <w:rPr>
                <w:rStyle w:val="236"/>
                <w:rFonts w:hint="eastAsia" w:ascii="宋体" w:hAnsi="宋体" w:eastAsia="宋体" w:cs="宋体"/>
                <w:sz w:val="21"/>
                <w:szCs w:val="21"/>
                <w:lang w:val="en-US" w:eastAsia="zh-CN" w:bidi="ar"/>
              </w:rPr>
              <w:t>法</w:t>
            </w:r>
            <w:r>
              <w:rPr>
                <w:rFonts w:hint="eastAsia" w:ascii="宋体" w:hAnsi="宋体" w:eastAsia="宋体" w:cs="宋体"/>
                <w:color w:val="000000"/>
                <w:sz w:val="21"/>
                <w:szCs w:val="21"/>
                <w:u w:val="none"/>
                <w:lang w:val="en-US" w:eastAsia="zh-CN" w:bidi="ar"/>
              </w:rPr>
              <w:t>)</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6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329.94 </w:t>
            </w:r>
          </w:p>
        </w:tc>
      </w:tr>
      <w:tr w14:paraId="03D7A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33B5B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6986" w:type="dxa"/>
            <w:tcBorders>
              <w:top w:val="single" w:color="000000" w:sz="4" w:space="0"/>
              <w:left w:val="single" w:color="auto" w:sz="4" w:space="0"/>
              <w:bottom w:val="single" w:color="000000" w:sz="4" w:space="0"/>
              <w:right w:val="single" w:color="000000" w:sz="4" w:space="0"/>
            </w:tcBorders>
            <w:shd w:val="clear" w:color="auto" w:fill="auto"/>
            <w:vAlign w:val="center"/>
          </w:tcPr>
          <w:p w14:paraId="7A5E2E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癌胚抗原</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5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31.50 </w:t>
            </w:r>
          </w:p>
        </w:tc>
      </w:tr>
      <w:tr w14:paraId="1715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4" w:space="0"/>
              <w:left w:val="single" w:color="000000" w:sz="4" w:space="0"/>
              <w:bottom w:val="single" w:color="auto" w:sz="4" w:space="0"/>
              <w:right w:val="single" w:color="000000" w:sz="4" w:space="0"/>
            </w:tcBorders>
            <w:shd w:val="clear" w:color="auto" w:fill="auto"/>
            <w:vAlign w:val="center"/>
          </w:tcPr>
          <w:p w14:paraId="4F81C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DE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EB</w:t>
            </w:r>
            <w:r>
              <w:rPr>
                <w:rStyle w:val="236"/>
                <w:rFonts w:hint="eastAsia" w:ascii="宋体" w:hAnsi="宋体" w:eastAsia="宋体" w:cs="宋体"/>
                <w:sz w:val="21"/>
                <w:szCs w:val="21"/>
                <w:lang w:val="en-US" w:eastAsia="zh-CN" w:bidi="ar"/>
              </w:rPr>
              <w:t>病毒衣壳抗原</w:t>
            </w:r>
            <w:r>
              <w:rPr>
                <w:rFonts w:hint="eastAsia" w:ascii="宋体" w:hAnsi="宋体" w:eastAsia="宋体" w:cs="宋体"/>
                <w:color w:val="000000"/>
                <w:sz w:val="21"/>
                <w:szCs w:val="21"/>
                <w:u w:val="none"/>
                <w:lang w:val="en-US" w:eastAsia="zh-CN" w:bidi="ar"/>
              </w:rPr>
              <w:t>IgG+IgM</w:t>
            </w:r>
            <w:r>
              <w:rPr>
                <w:rStyle w:val="236"/>
                <w:rFonts w:hint="eastAsia" w:ascii="宋体" w:hAnsi="宋体" w:eastAsia="宋体" w:cs="宋体"/>
                <w:sz w:val="21"/>
                <w:szCs w:val="21"/>
                <w:lang w:val="en-US" w:eastAsia="zh-CN" w:bidi="ar"/>
              </w:rPr>
              <w:t>抗体（定量）</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D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91.36 </w:t>
            </w:r>
          </w:p>
        </w:tc>
      </w:tr>
      <w:tr w14:paraId="087A1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3B3BB4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6986" w:type="dxa"/>
            <w:tcBorders>
              <w:top w:val="single" w:color="000000" w:sz="4" w:space="0"/>
              <w:left w:val="single" w:color="auto" w:sz="4" w:space="0"/>
              <w:bottom w:val="single" w:color="000000" w:sz="4" w:space="0"/>
              <w:right w:val="single" w:color="000000" w:sz="4" w:space="0"/>
            </w:tcBorders>
            <w:shd w:val="clear" w:color="auto" w:fill="auto"/>
            <w:vAlign w:val="center"/>
          </w:tcPr>
          <w:p w14:paraId="026B25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EB</w:t>
            </w:r>
            <w:r>
              <w:rPr>
                <w:rStyle w:val="236"/>
                <w:rFonts w:hint="eastAsia" w:ascii="宋体" w:hAnsi="宋体" w:eastAsia="宋体" w:cs="宋体"/>
                <w:sz w:val="21"/>
                <w:szCs w:val="21"/>
                <w:lang w:val="en-US" w:eastAsia="zh-CN" w:bidi="ar"/>
              </w:rPr>
              <w:t>病毒核酸定量检测</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B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135.36 </w:t>
            </w:r>
          </w:p>
        </w:tc>
      </w:tr>
      <w:tr w14:paraId="0F153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4" w:space="0"/>
              <w:left w:val="single" w:color="000000" w:sz="4" w:space="0"/>
              <w:bottom w:val="single" w:color="000000" w:sz="4" w:space="0"/>
              <w:right w:val="single" w:color="000000" w:sz="4" w:space="0"/>
            </w:tcBorders>
            <w:shd w:val="clear" w:color="auto" w:fill="auto"/>
            <w:vAlign w:val="center"/>
          </w:tcPr>
          <w:p w14:paraId="5541A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81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D-</w:t>
            </w:r>
            <w:r>
              <w:rPr>
                <w:rStyle w:val="236"/>
                <w:rFonts w:hint="eastAsia" w:ascii="宋体" w:hAnsi="宋体" w:eastAsia="宋体" w:cs="宋体"/>
                <w:sz w:val="21"/>
                <w:szCs w:val="21"/>
                <w:lang w:val="en-US" w:eastAsia="zh-CN" w:bidi="ar"/>
              </w:rPr>
              <w:t>二聚体</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4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93.06 </w:t>
            </w:r>
          </w:p>
        </w:tc>
      </w:tr>
      <w:tr w14:paraId="5E2A6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3AF95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6F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C</w:t>
            </w:r>
            <w:r>
              <w:rPr>
                <w:rStyle w:val="236"/>
                <w:rFonts w:hint="eastAsia" w:ascii="宋体" w:hAnsi="宋体" w:eastAsia="宋体" w:cs="宋体"/>
                <w:sz w:val="21"/>
                <w:szCs w:val="21"/>
                <w:lang w:val="en-US" w:eastAsia="zh-CN" w:bidi="ar"/>
              </w:rPr>
              <w:t>肽</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1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42.30 </w:t>
            </w:r>
          </w:p>
        </w:tc>
      </w:tr>
      <w:tr w14:paraId="1D8A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29B20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BE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C</w:t>
            </w:r>
            <w:r>
              <w:rPr>
                <w:rStyle w:val="236"/>
                <w:rFonts w:hint="eastAsia" w:ascii="宋体" w:hAnsi="宋体" w:eastAsia="宋体" w:cs="宋体"/>
                <w:sz w:val="21"/>
                <w:szCs w:val="21"/>
                <w:lang w:val="en-US" w:eastAsia="zh-CN" w:bidi="ar"/>
              </w:rPr>
              <w:t>反应蛋白</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3E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13.54 </w:t>
            </w:r>
          </w:p>
        </w:tc>
      </w:tr>
      <w:tr w14:paraId="36B39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669667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93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B-</w:t>
            </w:r>
            <w:r>
              <w:rPr>
                <w:rStyle w:val="236"/>
                <w:rFonts w:hint="eastAsia" w:ascii="宋体" w:hAnsi="宋体" w:eastAsia="宋体" w:cs="宋体"/>
                <w:sz w:val="21"/>
                <w:szCs w:val="21"/>
                <w:lang w:val="en-US" w:eastAsia="zh-CN" w:bidi="ar"/>
              </w:rPr>
              <w:t>型尿钠肽测定</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5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135.00 </w:t>
            </w:r>
          </w:p>
        </w:tc>
      </w:tr>
      <w:tr w14:paraId="3440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677247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1B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红细胞脆性试验</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B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14.38 </w:t>
            </w:r>
          </w:p>
        </w:tc>
      </w:tr>
      <w:tr w14:paraId="33C4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68518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D2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24</w:t>
            </w:r>
            <w:r>
              <w:rPr>
                <w:rStyle w:val="236"/>
                <w:rFonts w:hint="eastAsia" w:ascii="宋体" w:hAnsi="宋体" w:eastAsia="宋体" w:cs="宋体"/>
                <w:sz w:val="21"/>
                <w:szCs w:val="21"/>
                <w:lang w:val="en-US" w:eastAsia="zh-CN" w:bidi="ar"/>
              </w:rPr>
              <w:t>小时尿蛋白定量</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2E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8.46 </w:t>
            </w:r>
          </w:p>
        </w:tc>
      </w:tr>
      <w:tr w14:paraId="773E4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2DE61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64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乙肝两对半（定性）</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D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33.84 </w:t>
            </w:r>
          </w:p>
        </w:tc>
      </w:tr>
      <w:tr w14:paraId="59B0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000000" w:sz="4" w:space="0"/>
              <w:right w:val="single" w:color="000000" w:sz="4" w:space="0"/>
            </w:tcBorders>
            <w:shd w:val="clear" w:color="auto" w:fill="auto"/>
            <w:vAlign w:val="center"/>
          </w:tcPr>
          <w:p w14:paraId="5242A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6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BF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乙肝两对半（定量）</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A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112.00 </w:t>
            </w:r>
          </w:p>
        </w:tc>
      </w:tr>
      <w:tr w14:paraId="585CD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nil"/>
              <w:left w:val="single" w:color="000000" w:sz="4" w:space="0"/>
              <w:bottom w:val="single" w:color="auto" w:sz="4" w:space="0"/>
              <w:right w:val="single" w:color="000000" w:sz="4" w:space="0"/>
            </w:tcBorders>
            <w:shd w:val="clear" w:color="auto" w:fill="auto"/>
            <w:vAlign w:val="center"/>
          </w:tcPr>
          <w:p w14:paraId="1B403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6986" w:type="dxa"/>
            <w:tcBorders>
              <w:top w:val="single" w:color="000000" w:sz="4" w:space="0"/>
              <w:left w:val="single" w:color="000000" w:sz="4" w:space="0"/>
              <w:bottom w:val="single" w:color="auto" w:sz="4" w:space="0"/>
              <w:right w:val="single" w:color="000000" w:sz="4" w:space="0"/>
            </w:tcBorders>
            <w:shd w:val="clear" w:color="auto" w:fill="auto"/>
            <w:vAlign w:val="center"/>
          </w:tcPr>
          <w:p w14:paraId="57598B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高血压四项</w:t>
            </w:r>
          </w:p>
        </w:tc>
        <w:tc>
          <w:tcPr>
            <w:tcW w:w="1656" w:type="dxa"/>
            <w:tcBorders>
              <w:top w:val="single" w:color="000000" w:sz="4" w:space="0"/>
              <w:left w:val="single" w:color="000000" w:sz="4" w:space="0"/>
              <w:bottom w:val="single" w:color="auto" w:sz="4" w:space="0"/>
              <w:right w:val="single" w:color="000000" w:sz="4" w:space="0"/>
            </w:tcBorders>
            <w:shd w:val="clear" w:color="auto" w:fill="auto"/>
            <w:vAlign w:val="center"/>
          </w:tcPr>
          <w:p w14:paraId="520BF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143.00 </w:t>
            </w:r>
          </w:p>
        </w:tc>
      </w:tr>
      <w:tr w14:paraId="6C7C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62AF9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6986" w:type="dxa"/>
            <w:tcBorders>
              <w:top w:val="single" w:color="auto" w:sz="4" w:space="0"/>
              <w:left w:val="single" w:color="auto" w:sz="4" w:space="0"/>
              <w:bottom w:val="single" w:color="auto" w:sz="4" w:space="0"/>
              <w:right w:val="single" w:color="auto" w:sz="4" w:space="0"/>
            </w:tcBorders>
            <w:shd w:val="clear" w:color="auto" w:fill="auto"/>
            <w:vAlign w:val="center"/>
          </w:tcPr>
          <w:p w14:paraId="638828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36"/>
                <w:rFonts w:hint="eastAsia" w:ascii="宋体" w:hAnsi="宋体" w:eastAsia="宋体" w:cs="宋体"/>
                <w:sz w:val="21"/>
                <w:szCs w:val="21"/>
                <w:lang w:val="en-US" w:eastAsia="zh-CN" w:bidi="ar"/>
              </w:rPr>
              <w:t>肝纤维化指标</w:t>
            </w:r>
            <w:r>
              <w:rPr>
                <w:rFonts w:hint="eastAsia" w:ascii="宋体" w:hAnsi="宋体" w:eastAsia="宋体" w:cs="宋体"/>
                <w:color w:val="000000"/>
                <w:sz w:val="21"/>
                <w:szCs w:val="21"/>
                <w:u w:val="none"/>
                <w:lang w:val="en-US" w:eastAsia="zh-CN" w:bidi="ar"/>
              </w:rPr>
              <w:t>4</w:t>
            </w:r>
            <w:r>
              <w:rPr>
                <w:rStyle w:val="236"/>
                <w:rFonts w:hint="eastAsia" w:ascii="宋体" w:hAnsi="宋体" w:eastAsia="宋体" w:cs="宋体"/>
                <w:sz w:val="21"/>
                <w:szCs w:val="21"/>
                <w:lang w:val="en-US" w:eastAsia="zh-CN" w:bidi="ar"/>
              </w:rPr>
              <w:t>项</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39A73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126.05 </w:t>
            </w:r>
          </w:p>
        </w:tc>
      </w:tr>
    </w:tbl>
    <w:p w14:paraId="3B7B41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备注：</w:t>
      </w:r>
    </w:p>
    <w:p w14:paraId="11157C8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第1至17项为监狱医院已开展项目，18至70项为未开展项目，检验项目结算单价以后续</w:t>
      </w:r>
      <w:r>
        <w:rPr>
          <w:rFonts w:hint="eastAsia" w:ascii="宋体" w:hAnsi="宋体" w:cs="宋体"/>
          <w:color w:val="auto"/>
          <w:sz w:val="20"/>
          <w:szCs w:val="20"/>
          <w:lang w:val="en-US" w:eastAsia="zh-CN"/>
        </w:rPr>
        <w:t>成交</w:t>
      </w:r>
      <w:r>
        <w:rPr>
          <w:rFonts w:hint="eastAsia" w:ascii="宋体" w:hAnsi="宋体" w:eastAsia="宋体" w:cs="宋体"/>
          <w:color w:val="auto"/>
          <w:sz w:val="20"/>
          <w:szCs w:val="20"/>
          <w:lang w:val="en-US" w:eastAsia="zh-CN"/>
        </w:rPr>
        <w:t>价进</w:t>
      </w:r>
      <w:r>
        <w:rPr>
          <w:rFonts w:hint="eastAsia" w:ascii="宋体" w:hAnsi="宋体" w:eastAsia="宋体" w:cs="宋体"/>
          <w:sz w:val="20"/>
          <w:szCs w:val="20"/>
          <w:lang w:val="en-US" w:eastAsia="zh-CN"/>
        </w:rPr>
        <w:t>行结算</w:t>
      </w:r>
      <w:r>
        <w:rPr>
          <w:rFonts w:hint="eastAsia" w:ascii="宋体" w:hAnsi="宋体" w:cs="宋体"/>
          <w:sz w:val="20"/>
          <w:szCs w:val="20"/>
          <w:lang w:val="en-US" w:eastAsia="zh-CN"/>
        </w:rPr>
        <w:t>。</w:t>
      </w:r>
    </w:p>
    <w:p w14:paraId="21EBB5EE">
      <w:pPr>
        <w:spacing w:line="240" w:lineRule="auto"/>
        <w:rPr>
          <w:rFonts w:hint="eastAsia" w:ascii="宋体" w:hAnsi="宋体" w:eastAsia="宋体" w:cs="宋体"/>
          <w:color w:val="auto"/>
          <w:sz w:val="21"/>
          <w:szCs w:val="21"/>
          <w:lang w:eastAsia="zh-CN"/>
        </w:rPr>
      </w:pPr>
    </w:p>
    <w:p w14:paraId="540F904E">
      <w:pPr>
        <w:spacing w:line="24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服务要求</w:t>
      </w:r>
    </w:p>
    <w:p w14:paraId="1DBD7004">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样本运输要求直立、封闭，对于需冷藏或有特殊要求的样本与</w:t>
      </w:r>
      <w:r>
        <w:rPr>
          <w:rFonts w:hint="eastAsia" w:ascii="宋体" w:hAnsi="宋体" w:eastAsia="宋体" w:cs="宋体"/>
          <w:color w:val="auto"/>
          <w:sz w:val="21"/>
          <w:szCs w:val="21"/>
          <w:lang w:val="en-US" w:eastAsia="zh-CN"/>
        </w:rPr>
        <w:t>监狱医院</w:t>
      </w:r>
      <w:r>
        <w:rPr>
          <w:rFonts w:hint="eastAsia" w:ascii="宋体" w:hAnsi="宋体" w:eastAsia="宋体" w:cs="宋体"/>
          <w:color w:val="auto"/>
          <w:sz w:val="21"/>
          <w:szCs w:val="21"/>
          <w:lang w:eastAsia="zh-CN"/>
        </w:rPr>
        <w:t>商定，同时保证物流运输过程样品质量和环境安全。</w:t>
      </w:r>
    </w:p>
    <w:p w14:paraId="34F97F01">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2.监狱医</w:t>
      </w:r>
      <w:r>
        <w:rPr>
          <w:rFonts w:hint="eastAsia" w:ascii="宋体" w:hAnsi="宋体" w:eastAsia="宋体" w:cs="宋体"/>
          <w:color w:val="auto"/>
          <w:sz w:val="21"/>
          <w:szCs w:val="21"/>
          <w:lang w:eastAsia="zh-CN"/>
        </w:rPr>
        <w:t>院采集样本后由</w:t>
      </w:r>
      <w:r>
        <w:rPr>
          <w:rFonts w:hint="eastAsia" w:ascii="宋体" w:hAnsi="宋体" w:eastAsia="宋体" w:cs="宋体"/>
          <w:color w:val="auto"/>
          <w:sz w:val="21"/>
          <w:szCs w:val="21"/>
          <w:lang w:val="en-US" w:eastAsia="zh-CN"/>
        </w:rPr>
        <w:t>检验单位</w:t>
      </w:r>
      <w:r>
        <w:rPr>
          <w:rFonts w:hint="eastAsia" w:ascii="宋体" w:hAnsi="宋体" w:eastAsia="宋体" w:cs="宋体"/>
          <w:color w:val="auto"/>
          <w:sz w:val="21"/>
          <w:szCs w:val="21"/>
          <w:lang w:eastAsia="zh-CN"/>
        </w:rPr>
        <w:t>派专人专车按指定时间到</w:t>
      </w:r>
      <w:r>
        <w:rPr>
          <w:rFonts w:hint="eastAsia" w:ascii="宋体" w:hAnsi="宋体" w:cs="宋体"/>
          <w:color w:val="auto"/>
          <w:sz w:val="21"/>
          <w:szCs w:val="21"/>
          <w:lang w:val="en-US" w:eastAsia="zh-CN"/>
        </w:rPr>
        <w:t>达</w:t>
      </w:r>
      <w:r>
        <w:rPr>
          <w:rFonts w:hint="eastAsia" w:ascii="宋体" w:hAnsi="宋体" w:eastAsia="宋体" w:cs="宋体"/>
          <w:color w:val="auto"/>
          <w:sz w:val="21"/>
          <w:szCs w:val="21"/>
          <w:lang w:eastAsia="zh-CN"/>
        </w:rPr>
        <w:t>指定地点接收，遇特殊标本需机动收取。提供标本紧急检验服务，</w:t>
      </w:r>
      <w:r>
        <w:rPr>
          <w:rFonts w:hint="eastAsia" w:ascii="宋体" w:hAnsi="宋体" w:eastAsia="宋体" w:cs="宋体"/>
          <w:color w:val="auto"/>
          <w:sz w:val="21"/>
          <w:szCs w:val="21"/>
          <w:lang w:val="en-US" w:eastAsia="zh-CN"/>
        </w:rPr>
        <w:t>监狱医院</w:t>
      </w:r>
      <w:r>
        <w:rPr>
          <w:rFonts w:hint="eastAsia" w:ascii="宋体" w:hAnsi="宋体" w:eastAsia="宋体" w:cs="宋体"/>
          <w:color w:val="auto"/>
          <w:sz w:val="21"/>
          <w:szCs w:val="21"/>
          <w:lang w:eastAsia="zh-CN"/>
        </w:rPr>
        <w:t>有紧急检验时需</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小时内到达指定地点收取标本，急诊检验需在2小时内回报结果。</w:t>
      </w:r>
      <w:r>
        <w:rPr>
          <w:rFonts w:hint="eastAsia" w:ascii="宋体" w:hAnsi="宋体" w:eastAsia="宋体" w:cs="宋体"/>
          <w:color w:val="auto"/>
          <w:sz w:val="21"/>
          <w:szCs w:val="21"/>
        </w:rPr>
        <w:t>如</w:t>
      </w:r>
      <w:r>
        <w:rPr>
          <w:rFonts w:hint="eastAsia" w:ascii="宋体" w:hAnsi="宋体" w:eastAsia="宋体" w:cs="宋体"/>
          <w:color w:val="auto"/>
          <w:sz w:val="21"/>
          <w:szCs w:val="21"/>
          <w:lang w:val="en-US" w:eastAsia="zh-CN"/>
        </w:rPr>
        <w:t>检验项目</w:t>
      </w:r>
      <w:r>
        <w:rPr>
          <w:rFonts w:hint="eastAsia" w:ascii="宋体" w:hAnsi="宋体" w:eastAsia="宋体" w:cs="宋体"/>
          <w:color w:val="auto"/>
          <w:sz w:val="21"/>
          <w:szCs w:val="21"/>
        </w:rPr>
        <w:t>出现危</w:t>
      </w:r>
      <w:r>
        <w:rPr>
          <w:rFonts w:hint="eastAsia" w:ascii="宋体" w:hAnsi="宋体" w:cs="宋体"/>
          <w:color w:val="auto"/>
          <w:sz w:val="21"/>
          <w:szCs w:val="21"/>
          <w:lang w:eastAsia="zh-CN"/>
        </w:rPr>
        <w:t>急</w:t>
      </w:r>
      <w:r>
        <w:rPr>
          <w:rFonts w:hint="eastAsia" w:ascii="宋体" w:hAnsi="宋体" w:eastAsia="宋体" w:cs="宋体"/>
          <w:color w:val="auto"/>
          <w:sz w:val="21"/>
          <w:szCs w:val="21"/>
        </w:rPr>
        <w:t>值，</w:t>
      </w:r>
      <w:r>
        <w:rPr>
          <w:rFonts w:hint="eastAsia" w:ascii="宋体" w:hAnsi="宋体" w:eastAsia="宋体" w:cs="宋体"/>
          <w:color w:val="auto"/>
          <w:sz w:val="21"/>
          <w:szCs w:val="21"/>
          <w:lang w:val="en-US" w:eastAsia="zh-CN"/>
        </w:rPr>
        <w:t>检验单位</w:t>
      </w:r>
      <w:r>
        <w:rPr>
          <w:rFonts w:hint="eastAsia" w:ascii="宋体" w:hAnsi="宋体" w:eastAsia="宋体" w:cs="宋体"/>
          <w:color w:val="auto"/>
          <w:sz w:val="21"/>
          <w:szCs w:val="21"/>
        </w:rPr>
        <w:t>应立即电话告知监狱医院</w:t>
      </w:r>
      <w:r>
        <w:rPr>
          <w:rFonts w:hint="eastAsia" w:ascii="宋体" w:hAnsi="宋体" w:eastAsia="宋体" w:cs="宋体"/>
          <w:color w:val="auto"/>
          <w:sz w:val="21"/>
          <w:szCs w:val="21"/>
          <w:lang w:eastAsia="zh-CN"/>
        </w:rPr>
        <w:t>。</w:t>
      </w:r>
    </w:p>
    <w:p w14:paraId="68D4AE2F">
      <w:pPr>
        <w:spacing w:line="360" w:lineRule="auto"/>
        <w:ind w:firstLine="420" w:firstLineChars="200"/>
        <w:rPr>
          <w:rFonts w:hint="eastAsia" w:ascii="宋体" w:hAnsi="宋体" w:eastAsia="宋体" w:cs="宋体"/>
          <w:color w:val="0070C0"/>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检验单位保证对所有标本、检验结果及相关资料等保密，如有泄露，对此造成不良影响及后果的，</w:t>
      </w:r>
      <w:r>
        <w:rPr>
          <w:rFonts w:hint="eastAsia" w:ascii="宋体" w:hAnsi="宋体" w:eastAsia="宋体" w:cs="宋体"/>
          <w:color w:val="auto"/>
          <w:sz w:val="21"/>
          <w:szCs w:val="21"/>
          <w:lang w:val="en-US" w:eastAsia="zh-CN"/>
        </w:rPr>
        <w:t>检验单位</w:t>
      </w:r>
      <w:r>
        <w:rPr>
          <w:rFonts w:hint="eastAsia" w:ascii="宋体" w:hAnsi="宋体" w:eastAsia="宋体" w:cs="宋体"/>
          <w:color w:val="auto"/>
          <w:sz w:val="21"/>
          <w:szCs w:val="21"/>
          <w:lang w:eastAsia="zh-CN"/>
        </w:rPr>
        <w:t>负全</w:t>
      </w:r>
      <w:r>
        <w:rPr>
          <w:rFonts w:hint="eastAsia" w:ascii="宋体" w:hAnsi="宋体" w:eastAsia="宋体" w:cs="宋体"/>
          <w:color w:val="auto"/>
          <w:sz w:val="21"/>
          <w:szCs w:val="21"/>
          <w:lang w:val="en-US" w:eastAsia="zh-CN"/>
        </w:rPr>
        <w:t>部责任</w:t>
      </w:r>
      <w:r>
        <w:rPr>
          <w:rFonts w:hint="eastAsia" w:ascii="宋体" w:hAnsi="宋体" w:eastAsia="宋体" w:cs="宋体"/>
          <w:color w:val="auto"/>
          <w:sz w:val="21"/>
          <w:szCs w:val="21"/>
          <w:lang w:eastAsia="zh-CN"/>
        </w:rPr>
        <w:t>。检测样本、检测数据的所有权</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使用权为</w:t>
      </w:r>
      <w:r>
        <w:rPr>
          <w:rFonts w:hint="eastAsia" w:ascii="宋体" w:hAnsi="宋体" w:eastAsia="宋体" w:cs="宋体"/>
          <w:color w:val="auto"/>
          <w:sz w:val="21"/>
          <w:szCs w:val="21"/>
          <w:lang w:val="en-US" w:eastAsia="zh-CN"/>
        </w:rPr>
        <w:t>监狱</w:t>
      </w:r>
      <w:r>
        <w:rPr>
          <w:rFonts w:hint="eastAsia" w:ascii="宋体" w:hAnsi="宋体" w:eastAsia="宋体" w:cs="宋体"/>
          <w:color w:val="auto"/>
          <w:sz w:val="21"/>
          <w:szCs w:val="21"/>
          <w:lang w:eastAsia="zh-CN"/>
        </w:rPr>
        <w:t>所有，检验单位未经允许不得挪作他用。检验单位需保证结果的公正性,不受任何诱惑或压力的干扰。</w:t>
      </w:r>
    </w:p>
    <w:p w14:paraId="6CD62390">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4.检验单位有</w:t>
      </w:r>
      <w:r>
        <w:rPr>
          <w:rFonts w:hint="eastAsia" w:ascii="宋体" w:hAnsi="宋体" w:eastAsia="宋体" w:cs="宋体"/>
          <w:color w:val="auto"/>
          <w:sz w:val="21"/>
          <w:szCs w:val="21"/>
          <w:lang w:eastAsia="zh-CN"/>
        </w:rPr>
        <w:t>明确的报告发布时间服务承诺</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常规检测报告正常1-2个工作日出具</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特殊项目（如肝纤）按《检测项目手册》规定的出报告时间出具。报告发送方式为送达、网络查询打印或其他方式。如检验单位检测报告超出约定时间严重后果</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lang w:eastAsia="zh-CN"/>
        </w:rPr>
        <w:t>造成恶劣影响的，应承担相应的法律和经济责任。</w:t>
      </w:r>
    </w:p>
    <w:p w14:paraId="4105D734">
      <w:pPr>
        <w:spacing w:line="360" w:lineRule="auto"/>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5.检验单位</w:t>
      </w:r>
      <w:r>
        <w:rPr>
          <w:rFonts w:hint="eastAsia" w:ascii="宋体" w:hAnsi="宋体" w:eastAsia="宋体" w:cs="宋体"/>
          <w:color w:val="auto"/>
          <w:sz w:val="21"/>
          <w:szCs w:val="21"/>
          <w:lang w:eastAsia="zh-CN"/>
        </w:rPr>
        <w:t>提供免费服务电话</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网络查询</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微信查询等多种渠道供</w:t>
      </w:r>
      <w:r>
        <w:rPr>
          <w:rFonts w:hint="eastAsia" w:ascii="宋体" w:hAnsi="宋体" w:eastAsia="宋体" w:cs="宋体"/>
          <w:color w:val="auto"/>
          <w:sz w:val="21"/>
          <w:szCs w:val="21"/>
          <w:lang w:val="en-US" w:eastAsia="zh-CN"/>
        </w:rPr>
        <w:t>采购</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lang w:eastAsia="zh-CN"/>
        </w:rPr>
        <w:t>相关临床科室进行业务咨询</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报告查询，账单查询统计功能等</w:t>
      </w:r>
      <w:r>
        <w:rPr>
          <w:rFonts w:hint="eastAsia" w:ascii="宋体" w:hAnsi="宋体" w:eastAsia="宋体" w:cs="宋体"/>
          <w:color w:val="auto"/>
          <w:sz w:val="21"/>
          <w:szCs w:val="21"/>
          <w:lang w:val="en-US" w:eastAsia="zh-CN"/>
        </w:rPr>
        <w:t>。</w:t>
      </w:r>
    </w:p>
    <w:p w14:paraId="30CFFAC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6.检验单位</w:t>
      </w:r>
      <w:r>
        <w:rPr>
          <w:rFonts w:hint="eastAsia" w:ascii="宋体" w:hAnsi="宋体" w:eastAsia="宋体" w:cs="宋体"/>
          <w:color w:val="auto"/>
          <w:sz w:val="21"/>
          <w:szCs w:val="21"/>
        </w:rPr>
        <w:t>必须配备检验项目所需的仪器，检验人员需具备丰富的临床经验。</w:t>
      </w:r>
    </w:p>
    <w:p w14:paraId="361CEC5B">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7.检验单位</w:t>
      </w:r>
      <w:r>
        <w:rPr>
          <w:rFonts w:hint="eastAsia" w:ascii="宋体" w:hAnsi="宋体" w:eastAsia="宋体" w:cs="宋体"/>
          <w:color w:val="auto"/>
          <w:kern w:val="0"/>
          <w:sz w:val="21"/>
          <w:szCs w:val="21"/>
        </w:rPr>
        <w:t>必须按规定进行标本的</w:t>
      </w:r>
      <w:r>
        <w:rPr>
          <w:rFonts w:hint="eastAsia" w:ascii="宋体" w:hAnsi="宋体" w:eastAsia="宋体" w:cs="宋体"/>
          <w:color w:val="auto"/>
          <w:kern w:val="0"/>
          <w:sz w:val="21"/>
          <w:szCs w:val="21"/>
          <w:lang w:eastAsia="zh-CN"/>
        </w:rPr>
        <w:t>检验</w:t>
      </w:r>
      <w:r>
        <w:rPr>
          <w:rFonts w:hint="eastAsia" w:ascii="宋体" w:hAnsi="宋体" w:eastAsia="宋体" w:cs="宋体"/>
          <w:color w:val="auto"/>
          <w:kern w:val="0"/>
          <w:sz w:val="21"/>
          <w:szCs w:val="21"/>
        </w:rPr>
        <w:t>，确保检验结果的准确性。</w:t>
      </w:r>
    </w:p>
    <w:p w14:paraId="19A59839">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r>
        <w:rPr>
          <w:rFonts w:hint="eastAsia" w:ascii="宋体" w:hAnsi="宋体" w:eastAsia="宋体" w:cs="宋体"/>
          <w:b w:val="0"/>
          <w:bCs/>
          <w:i w:val="0"/>
          <w:iCs w:val="0"/>
          <w:color w:val="auto"/>
          <w:sz w:val="21"/>
          <w:szCs w:val="21"/>
          <w:u w:val="none"/>
        </w:rPr>
        <w:t>检验项目</w:t>
      </w:r>
      <w:r>
        <w:rPr>
          <w:rFonts w:hint="eastAsia" w:ascii="宋体" w:hAnsi="宋体" w:cs="宋体"/>
          <w:color w:val="auto"/>
          <w:kern w:val="0"/>
          <w:sz w:val="21"/>
          <w:szCs w:val="21"/>
          <w:lang w:val="en-US" w:eastAsia="zh-CN"/>
        </w:rPr>
        <w:t>若需</w:t>
      </w:r>
      <w:r>
        <w:rPr>
          <w:rFonts w:hint="eastAsia" w:ascii="宋体" w:hAnsi="宋体" w:eastAsia="宋体" w:cs="宋体"/>
          <w:color w:val="auto"/>
          <w:kern w:val="0"/>
          <w:sz w:val="21"/>
          <w:szCs w:val="21"/>
          <w:lang w:val="en-US" w:eastAsia="zh-CN"/>
        </w:rPr>
        <w:t>指定、特定耗材进行检验的，</w:t>
      </w:r>
      <w:r>
        <w:rPr>
          <w:rFonts w:hint="eastAsia" w:ascii="宋体" w:hAnsi="宋体" w:eastAsia="宋体" w:cs="宋体"/>
          <w:color w:val="auto"/>
          <w:sz w:val="21"/>
          <w:szCs w:val="21"/>
          <w:lang w:val="en-US" w:eastAsia="zh-CN"/>
        </w:rPr>
        <w:t>检验单位</w:t>
      </w:r>
      <w:r>
        <w:rPr>
          <w:rFonts w:hint="eastAsia" w:ascii="宋体" w:hAnsi="宋体" w:eastAsia="宋体" w:cs="宋体"/>
          <w:color w:val="auto"/>
          <w:kern w:val="0"/>
          <w:sz w:val="21"/>
          <w:szCs w:val="21"/>
          <w:lang w:val="en-US" w:eastAsia="zh-CN"/>
        </w:rPr>
        <w:t>需无条件提供充足的采样耗材。</w:t>
      </w:r>
    </w:p>
    <w:p w14:paraId="184DB366">
      <w:pPr>
        <w:spacing w:line="360" w:lineRule="auto"/>
        <w:rPr>
          <w:rFonts w:hint="default"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三、商务要求</w:t>
      </w:r>
    </w:p>
    <w:p w14:paraId="3ECF0EBF">
      <w:pPr>
        <w:spacing w:line="360" w:lineRule="auto"/>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eastAsia="zh-CN"/>
        </w:rPr>
        <w:t>（</w:t>
      </w:r>
      <w:r>
        <w:rPr>
          <w:rFonts w:hint="eastAsia" w:ascii="宋体" w:hAnsi="宋体" w:eastAsia="宋体" w:cs="宋体"/>
          <w:b/>
          <w:bCs/>
          <w:i w:val="0"/>
          <w:iCs w:val="0"/>
          <w:color w:val="auto"/>
          <w:sz w:val="21"/>
          <w:szCs w:val="21"/>
          <w:u w:val="none"/>
          <w:lang w:val="en-US" w:eastAsia="zh-CN"/>
        </w:rPr>
        <w:t>一</w:t>
      </w:r>
      <w:r>
        <w:rPr>
          <w:rFonts w:hint="eastAsia" w:ascii="宋体" w:hAnsi="宋体" w:eastAsia="宋体" w:cs="宋体"/>
          <w:b/>
          <w:bCs/>
          <w:i w:val="0"/>
          <w:iCs w:val="0"/>
          <w:color w:val="auto"/>
          <w:sz w:val="21"/>
          <w:szCs w:val="21"/>
          <w:u w:val="none"/>
          <w:lang w:eastAsia="zh-CN"/>
        </w:rPr>
        <w:t>）</w:t>
      </w:r>
      <w:r>
        <w:rPr>
          <w:rFonts w:hint="eastAsia" w:ascii="宋体" w:hAnsi="宋体" w:eastAsia="宋体" w:cs="宋体"/>
          <w:b/>
          <w:bCs/>
          <w:i w:val="0"/>
          <w:iCs w:val="0"/>
          <w:color w:val="auto"/>
          <w:sz w:val="21"/>
          <w:szCs w:val="21"/>
          <w:u w:val="none"/>
          <w:lang w:val="en-US" w:eastAsia="zh-CN"/>
        </w:rPr>
        <w:t>服务期及服务地点</w:t>
      </w:r>
    </w:p>
    <w:p w14:paraId="3C729C09">
      <w:pPr>
        <w:pStyle w:val="13"/>
        <w:rPr>
          <w:rFonts w:hint="eastAsia" w:ascii="宋体" w:hAnsi="宋体" w:eastAsia="宋体" w:cs="宋体"/>
          <w:color w:val="auto"/>
          <w:lang w:val="en-US" w:eastAsia="zh-CN"/>
        </w:rPr>
      </w:pPr>
      <w:r>
        <w:rPr>
          <w:rFonts w:hint="eastAsia" w:ascii="宋体" w:hAnsi="宋体" w:eastAsia="宋体" w:cs="宋体"/>
          <w:color w:val="auto"/>
          <w:lang w:val="en-US" w:eastAsia="zh-CN"/>
        </w:rPr>
        <w:t>1.服务期：自合同签订之日起2年</w:t>
      </w:r>
    </w:p>
    <w:p w14:paraId="3CFCBD2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eastAsia" w:ascii="宋体" w:hAnsi="宋体" w:eastAsia="宋体" w:cs="宋体"/>
          <w:color w:val="auto"/>
          <w:lang w:val="en-US" w:eastAsia="zh-CN"/>
        </w:rPr>
        <w:t>2.服务地点：广东省北江监狱</w:t>
      </w:r>
      <w:r>
        <w:rPr>
          <w:rFonts w:hint="eastAsia" w:ascii="宋体" w:hAnsi="宋体" w:cs="宋体"/>
          <w:color w:val="auto"/>
          <w:lang w:val="en-US" w:eastAsia="zh-CN"/>
        </w:rPr>
        <w:t>医院</w:t>
      </w:r>
    </w:p>
    <w:p w14:paraId="45B37497">
      <w:pPr>
        <w:spacing w:line="360" w:lineRule="auto"/>
        <w:rPr>
          <w:rFonts w:hint="eastAsia" w:ascii="宋体" w:hAnsi="宋体" w:eastAsia="宋体" w:cs="宋体"/>
          <w:b/>
          <w:bCs/>
          <w:i w:val="0"/>
          <w:iCs w:val="0"/>
          <w:color w:val="auto"/>
          <w:sz w:val="21"/>
          <w:szCs w:val="21"/>
          <w:u w:val="none"/>
          <w:lang w:eastAsia="zh-CN"/>
        </w:rPr>
      </w:pPr>
      <w:r>
        <w:rPr>
          <w:rFonts w:hint="eastAsia" w:ascii="宋体" w:hAnsi="宋体" w:eastAsia="宋体" w:cs="宋体"/>
          <w:b/>
          <w:bCs/>
          <w:i w:val="0"/>
          <w:iCs w:val="0"/>
          <w:color w:val="auto"/>
          <w:sz w:val="21"/>
          <w:szCs w:val="21"/>
          <w:u w:val="none"/>
          <w:lang w:eastAsia="zh-CN"/>
        </w:rPr>
        <w:t>（</w:t>
      </w:r>
      <w:r>
        <w:rPr>
          <w:rFonts w:hint="eastAsia" w:ascii="宋体" w:hAnsi="宋体" w:eastAsia="宋体" w:cs="宋体"/>
          <w:b/>
          <w:bCs/>
          <w:i w:val="0"/>
          <w:iCs w:val="0"/>
          <w:color w:val="auto"/>
          <w:sz w:val="21"/>
          <w:szCs w:val="21"/>
          <w:u w:val="none"/>
          <w:lang w:val="en-US" w:eastAsia="zh-CN"/>
        </w:rPr>
        <w:t>二</w:t>
      </w:r>
      <w:r>
        <w:rPr>
          <w:rFonts w:hint="eastAsia" w:ascii="宋体" w:hAnsi="宋体" w:eastAsia="宋体" w:cs="宋体"/>
          <w:b/>
          <w:bCs/>
          <w:i w:val="0"/>
          <w:iCs w:val="0"/>
          <w:color w:val="auto"/>
          <w:sz w:val="21"/>
          <w:szCs w:val="21"/>
          <w:u w:val="none"/>
          <w:lang w:eastAsia="zh-CN"/>
        </w:rPr>
        <w:t>）报价要求</w:t>
      </w:r>
    </w:p>
    <w:p w14:paraId="54C6AC11">
      <w:pPr>
        <w:spacing w:line="360" w:lineRule="auto"/>
        <w:ind w:firstLine="420" w:firstLineChars="200"/>
        <w:rPr>
          <w:rFonts w:hint="eastAsia" w:ascii="宋体" w:hAnsi="宋体" w:eastAsia="宋体" w:cs="宋体"/>
          <w:b w:val="0"/>
          <w:bCs/>
          <w:i w:val="0"/>
          <w:iCs w:val="0"/>
          <w:color w:val="auto"/>
          <w:sz w:val="21"/>
          <w:szCs w:val="21"/>
          <w:u w:val="none"/>
          <w:lang w:eastAsia="zh-CN"/>
        </w:rPr>
      </w:pPr>
      <w:r>
        <w:rPr>
          <w:rFonts w:hint="eastAsia" w:ascii="宋体" w:hAnsi="宋体" w:eastAsia="宋体" w:cs="宋体"/>
          <w:b w:val="0"/>
          <w:bCs/>
          <w:i w:val="0"/>
          <w:iCs w:val="0"/>
          <w:color w:val="auto"/>
          <w:sz w:val="21"/>
          <w:szCs w:val="21"/>
          <w:u w:val="none"/>
          <w:lang w:val="en-US" w:eastAsia="zh-CN"/>
        </w:rPr>
        <w:t>1.</w:t>
      </w:r>
      <w:r>
        <w:rPr>
          <w:rFonts w:hint="eastAsia" w:ascii="宋体" w:hAnsi="宋体" w:eastAsia="宋体" w:cs="宋体"/>
          <w:b w:val="0"/>
          <w:bCs/>
          <w:i w:val="0"/>
          <w:iCs w:val="0"/>
          <w:color w:val="auto"/>
          <w:sz w:val="21"/>
          <w:szCs w:val="21"/>
          <w:u w:val="none"/>
          <w:lang w:eastAsia="zh-CN"/>
        </w:rPr>
        <w:t>所报价格应为人民币含税全包价，包含所有人员的工资、保险、服务过程中税金、上门收取标本、标本运输、</w:t>
      </w:r>
      <w:r>
        <w:rPr>
          <w:rFonts w:hint="eastAsia" w:ascii="宋体" w:hAnsi="宋体" w:eastAsia="宋体" w:cs="宋体"/>
          <w:b w:val="0"/>
          <w:bCs/>
          <w:i w:val="0"/>
          <w:iCs w:val="0"/>
          <w:color w:val="auto"/>
          <w:sz w:val="21"/>
          <w:szCs w:val="21"/>
          <w:u w:val="none"/>
          <w:lang w:val="en-US" w:eastAsia="zh-CN"/>
        </w:rPr>
        <w:t>出具报告</w:t>
      </w:r>
      <w:r>
        <w:rPr>
          <w:rFonts w:hint="eastAsia" w:ascii="宋体" w:hAnsi="宋体" w:eastAsia="宋体" w:cs="宋体"/>
          <w:b w:val="0"/>
          <w:bCs/>
          <w:i w:val="0"/>
          <w:iCs w:val="0"/>
          <w:color w:val="auto"/>
          <w:sz w:val="21"/>
          <w:szCs w:val="21"/>
          <w:u w:val="none"/>
          <w:lang w:eastAsia="zh-CN"/>
        </w:rPr>
        <w:t>等费用。</w:t>
      </w:r>
    </w:p>
    <w:p w14:paraId="3009B131">
      <w:pPr>
        <w:spacing w:line="360" w:lineRule="auto"/>
        <w:ind w:firstLine="420" w:firstLineChars="200"/>
        <w:rPr>
          <w:rFonts w:hint="eastAsia" w:ascii="宋体" w:hAnsi="宋体" w:eastAsia="宋体" w:cs="宋体"/>
          <w:b w:val="0"/>
          <w:bCs/>
          <w:i w:val="0"/>
          <w:iCs w:val="0"/>
          <w:color w:val="auto"/>
          <w:sz w:val="21"/>
          <w:szCs w:val="21"/>
          <w:u w:val="none"/>
          <w:lang w:val="en-US" w:eastAsia="zh-CN"/>
        </w:rPr>
      </w:pPr>
      <w:r>
        <w:rPr>
          <w:rFonts w:hint="eastAsia" w:ascii="宋体" w:hAnsi="宋体" w:eastAsia="宋体" w:cs="宋体"/>
          <w:b w:val="0"/>
          <w:bCs/>
          <w:i w:val="0"/>
          <w:iCs w:val="0"/>
          <w:color w:val="auto"/>
          <w:sz w:val="21"/>
          <w:szCs w:val="21"/>
          <w:u w:val="none"/>
          <w:lang w:val="en-US" w:eastAsia="zh-CN"/>
        </w:rPr>
        <w:t>2.</w:t>
      </w:r>
      <w:r>
        <w:rPr>
          <w:rFonts w:hint="eastAsia" w:ascii="宋体" w:hAnsi="宋体" w:eastAsia="宋体" w:cs="宋体"/>
          <w:b w:val="0"/>
          <w:bCs/>
          <w:i w:val="0"/>
          <w:iCs w:val="0"/>
          <w:color w:val="auto"/>
          <w:sz w:val="21"/>
          <w:szCs w:val="21"/>
          <w:u w:val="none"/>
          <w:lang w:eastAsia="zh-CN"/>
        </w:rPr>
        <w:t>投标报价采用投标“下浮率（%）”的方式，下浮率报价区间为0%</w:t>
      </w:r>
      <w:r>
        <w:rPr>
          <w:rFonts w:hint="eastAsia" w:ascii="宋体" w:hAnsi="宋体" w:eastAsia="宋体" w:cs="宋体"/>
          <w:color w:val="auto"/>
          <w:sz w:val="21"/>
          <w:szCs w:val="21"/>
          <w:lang w:eastAsia="zh-CN"/>
        </w:rPr>
        <w:t>-</w:t>
      </w:r>
      <w:r>
        <w:rPr>
          <w:rFonts w:hint="eastAsia" w:ascii="宋体" w:hAnsi="宋体" w:eastAsia="宋体" w:cs="宋体"/>
          <w:b w:val="0"/>
          <w:bCs/>
          <w:i w:val="0"/>
          <w:iCs w:val="0"/>
          <w:color w:val="auto"/>
          <w:sz w:val="21"/>
          <w:szCs w:val="21"/>
          <w:u w:val="none"/>
          <w:lang w:eastAsia="zh-CN"/>
        </w:rPr>
        <w:t>100%，保留两位小数（如9.20%）。供应商必须对所有体检项目报出一个统一的下浮率，不允许不同项目报不同的下浮率，否则按无效报价处理。</w:t>
      </w:r>
    </w:p>
    <w:p w14:paraId="225F0B73">
      <w:pPr>
        <w:spacing w:line="360" w:lineRule="auto"/>
        <w:rPr>
          <w:rFonts w:hint="eastAsia" w:ascii="宋体" w:hAnsi="宋体" w:cs="宋体"/>
          <w:b/>
          <w:bCs/>
          <w:color w:val="auto"/>
          <w:sz w:val="21"/>
          <w:szCs w:val="21"/>
          <w:lang w:val="en-US" w:eastAsia="zh-CN"/>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三</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验收要求</w:t>
      </w:r>
    </w:p>
    <w:p w14:paraId="59614351">
      <w:pPr>
        <w:pStyle w:val="13"/>
        <w:spacing w:line="360" w:lineRule="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eastAsia="zh-CN"/>
        </w:rPr>
        <w:t>外送检验项目服务</w:t>
      </w:r>
      <w:r>
        <w:rPr>
          <w:rFonts w:hint="eastAsia" w:ascii="宋体" w:hAnsi="宋体" w:eastAsia="宋体" w:cs="宋体"/>
          <w:b w:val="0"/>
          <w:bCs w:val="0"/>
          <w:color w:val="auto"/>
          <w:sz w:val="21"/>
          <w:szCs w:val="21"/>
          <w:highlight w:val="none"/>
          <w:u w:val="none"/>
        </w:rPr>
        <w:t>期限为</w:t>
      </w:r>
      <w:r>
        <w:rPr>
          <w:rFonts w:hint="eastAsia" w:ascii="宋体" w:hAnsi="宋体" w:eastAsia="宋体" w:cs="宋体"/>
          <w:b w:val="0"/>
          <w:bCs w:val="0"/>
          <w:color w:val="auto"/>
          <w:sz w:val="21"/>
          <w:szCs w:val="21"/>
          <w:highlight w:val="none"/>
          <w:u w:val="none"/>
          <w:lang w:val="en-US" w:eastAsia="zh-CN"/>
        </w:rPr>
        <w:t>两</w:t>
      </w:r>
      <w:r>
        <w:rPr>
          <w:rFonts w:hint="eastAsia" w:ascii="宋体" w:hAnsi="宋体" w:eastAsia="宋体" w:cs="宋体"/>
          <w:b w:val="0"/>
          <w:bCs w:val="0"/>
          <w:color w:val="auto"/>
          <w:sz w:val="21"/>
          <w:szCs w:val="21"/>
          <w:highlight w:val="none"/>
          <w:u w:val="none"/>
          <w:lang w:eastAsia="zh-CN"/>
        </w:rPr>
        <w:t>年</w:t>
      </w:r>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color w:val="auto"/>
          <w:sz w:val="21"/>
          <w:szCs w:val="21"/>
          <w:highlight w:val="none"/>
          <w:u w:val="none"/>
          <w:lang w:eastAsia="zh-CN"/>
        </w:rPr>
        <w:t>合同实行一年一签，共两年。监狱医院每三个月对本项目合同执行情况进行</w:t>
      </w:r>
      <w:r>
        <w:rPr>
          <w:rFonts w:hint="eastAsia" w:ascii="宋体" w:hAnsi="宋体" w:cs="宋体"/>
          <w:b w:val="0"/>
          <w:bCs w:val="0"/>
          <w:color w:val="auto"/>
          <w:sz w:val="21"/>
          <w:szCs w:val="21"/>
          <w:highlight w:val="none"/>
          <w:u w:val="none"/>
          <w:lang w:val="en-US" w:eastAsia="zh-CN"/>
        </w:rPr>
        <w:t>考核评分</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color w:val="auto"/>
          <w:sz w:val="21"/>
          <w:szCs w:val="21"/>
          <w:lang w:eastAsia="zh-CN"/>
        </w:rPr>
        <w:t>考核</w:t>
      </w:r>
      <w:r>
        <w:rPr>
          <w:rFonts w:hint="eastAsia" w:ascii="宋体" w:hAnsi="宋体" w:cs="宋体"/>
          <w:color w:val="auto"/>
          <w:sz w:val="21"/>
          <w:szCs w:val="21"/>
          <w:lang w:val="en-US" w:eastAsia="zh-CN"/>
        </w:rPr>
        <w:t>满</w:t>
      </w:r>
      <w:r>
        <w:rPr>
          <w:rFonts w:hint="eastAsia" w:ascii="宋体" w:hAnsi="宋体" w:eastAsia="宋体" w:cs="宋体"/>
          <w:color w:val="auto"/>
          <w:sz w:val="21"/>
          <w:szCs w:val="21"/>
          <w:lang w:eastAsia="zh-CN"/>
        </w:rPr>
        <w:t>分为100分</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考核内容主要包括样本接收运输、报告出具、特定检验耗材、结果查询、账目核对等</w:t>
      </w:r>
      <w:r>
        <w:rPr>
          <w:rFonts w:hint="eastAsia" w:ascii="宋体" w:hAnsi="宋体" w:cs="宋体"/>
          <w:color w:val="auto"/>
          <w:sz w:val="21"/>
          <w:szCs w:val="21"/>
          <w:lang w:eastAsia="zh-CN"/>
        </w:rPr>
        <w:t>。</w:t>
      </w:r>
      <w:r>
        <w:rPr>
          <w:rFonts w:hint="eastAsia" w:ascii="宋体" w:hAnsi="宋体" w:eastAsia="宋体" w:cs="宋体"/>
          <w:b w:val="0"/>
          <w:bCs w:val="0"/>
          <w:color w:val="auto"/>
          <w:sz w:val="21"/>
          <w:szCs w:val="21"/>
          <w:highlight w:val="none"/>
          <w:u w:val="none"/>
          <w:lang w:val="en-US" w:eastAsia="zh-CN"/>
        </w:rPr>
        <w:t>第二年项目合同续签前</w:t>
      </w:r>
      <w:r>
        <w:rPr>
          <w:rFonts w:hint="eastAsia" w:ascii="宋体" w:hAnsi="宋体" w:eastAsia="宋体" w:cs="宋体"/>
          <w:b w:val="0"/>
          <w:bCs w:val="0"/>
          <w:color w:val="auto"/>
          <w:sz w:val="21"/>
          <w:szCs w:val="21"/>
          <w:highlight w:val="none"/>
          <w:u w:val="none"/>
          <w:lang w:eastAsia="zh-CN"/>
        </w:rPr>
        <w:t>综合前三</w:t>
      </w:r>
      <w:r>
        <w:rPr>
          <w:rFonts w:hint="eastAsia" w:ascii="宋体" w:hAnsi="宋体" w:eastAsia="宋体" w:cs="宋体"/>
          <w:b w:val="0"/>
          <w:bCs w:val="0"/>
          <w:color w:val="auto"/>
          <w:sz w:val="21"/>
          <w:szCs w:val="21"/>
          <w:highlight w:val="none"/>
          <w:u w:val="none"/>
          <w:lang w:val="en-US" w:eastAsia="zh-CN"/>
        </w:rPr>
        <w:t>次</w:t>
      </w:r>
      <w:r>
        <w:rPr>
          <w:rFonts w:hint="eastAsia" w:ascii="宋体" w:hAnsi="宋体" w:eastAsia="宋体" w:cs="宋体"/>
          <w:b w:val="0"/>
          <w:bCs w:val="0"/>
          <w:color w:val="auto"/>
          <w:sz w:val="21"/>
          <w:szCs w:val="21"/>
          <w:highlight w:val="none"/>
          <w:u w:val="none"/>
          <w:lang w:eastAsia="zh-CN"/>
        </w:rPr>
        <w:t>的评分情况，平均分得分低于</w:t>
      </w:r>
      <w:r>
        <w:rPr>
          <w:rFonts w:hint="eastAsia" w:ascii="宋体" w:hAnsi="宋体" w:eastAsia="宋体" w:cs="宋体"/>
          <w:b w:val="0"/>
          <w:bCs w:val="0"/>
          <w:color w:val="auto"/>
          <w:sz w:val="21"/>
          <w:szCs w:val="21"/>
          <w:highlight w:val="none"/>
          <w:u w:val="none"/>
          <w:lang w:val="en-US" w:eastAsia="zh-CN"/>
        </w:rPr>
        <w:t>85分的，取消第二年项目合同续签</w:t>
      </w: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量化计分标准如下</w:t>
      </w:r>
      <w:r>
        <w:rPr>
          <w:rFonts w:hint="eastAsia" w:ascii="宋体" w:hAnsi="宋体" w:cs="宋体"/>
          <w:b w:val="0"/>
          <w:bCs w:val="0"/>
          <w:color w:val="auto"/>
          <w:sz w:val="21"/>
          <w:szCs w:val="21"/>
          <w:highlight w:val="none"/>
          <w:u w:val="none"/>
          <w:lang w:val="en-US" w:eastAsia="zh-CN"/>
        </w:rPr>
        <w:t>：</w:t>
      </w:r>
    </w:p>
    <w:p w14:paraId="0A555DE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i w:val="0"/>
          <w:iCs w:val="0"/>
          <w:color w:val="000000"/>
          <w:kern w:val="0"/>
          <w:sz w:val="28"/>
          <w:szCs w:val="28"/>
          <w:u w:val="none"/>
          <w:lang w:val="en-US" w:eastAsia="zh-CN" w:bidi="ar"/>
        </w:rPr>
        <w:t>广东省北江监狱2025-2027年度外送检验项目评分表</w:t>
      </w:r>
    </w:p>
    <w:tbl>
      <w:tblPr>
        <w:tblStyle w:val="46"/>
        <w:tblW w:w="98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3"/>
        <w:gridCol w:w="743"/>
        <w:gridCol w:w="7844"/>
      </w:tblGrid>
      <w:tr w14:paraId="3F80A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A9E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考核内容</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ED5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7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6F0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考核评分</w:t>
            </w:r>
          </w:p>
        </w:tc>
      </w:tr>
      <w:tr w14:paraId="38C11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63" w:type="dxa"/>
            <w:vMerge w:val="restart"/>
            <w:tcBorders>
              <w:top w:val="single" w:color="000000" w:sz="4" w:space="0"/>
              <w:left w:val="single" w:color="000000" w:sz="4" w:space="0"/>
              <w:bottom w:val="nil"/>
              <w:right w:val="single" w:color="000000" w:sz="4" w:space="0"/>
            </w:tcBorders>
            <w:shd w:val="clear" w:color="auto" w:fill="auto"/>
            <w:vAlign w:val="center"/>
          </w:tcPr>
          <w:p w14:paraId="4EF5F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样本接收、运输</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5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2B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未派专人专车到指定时间和地点接收的，每次扣5分</w:t>
            </w:r>
          </w:p>
        </w:tc>
      </w:tr>
      <w:tr w14:paraId="1053A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63" w:type="dxa"/>
            <w:vMerge w:val="continue"/>
            <w:tcBorders>
              <w:top w:val="single" w:color="000000" w:sz="4" w:space="0"/>
              <w:left w:val="single" w:color="000000" w:sz="4" w:space="0"/>
              <w:bottom w:val="nil"/>
              <w:right w:val="single" w:color="000000" w:sz="4" w:space="0"/>
            </w:tcBorders>
            <w:shd w:val="clear" w:color="auto" w:fill="auto"/>
            <w:vAlign w:val="center"/>
          </w:tcPr>
          <w:p w14:paraId="6871C4DA">
            <w:pPr>
              <w:jc w:val="center"/>
              <w:rPr>
                <w:rFonts w:hint="eastAsia" w:ascii="宋体" w:hAnsi="宋体" w:eastAsia="宋体" w:cs="宋体"/>
                <w:i w:val="0"/>
                <w:iCs w:val="0"/>
                <w:color w:val="00000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A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2D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急查项目未在1小时内到达指定地点收取标本，每次扣5分</w:t>
            </w:r>
          </w:p>
        </w:tc>
      </w:tr>
      <w:tr w14:paraId="78F2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63" w:type="dxa"/>
            <w:vMerge w:val="continue"/>
            <w:tcBorders>
              <w:top w:val="single" w:color="000000" w:sz="4" w:space="0"/>
              <w:left w:val="single" w:color="000000" w:sz="4" w:space="0"/>
              <w:bottom w:val="nil"/>
              <w:right w:val="single" w:color="000000" w:sz="4" w:space="0"/>
            </w:tcBorders>
            <w:shd w:val="clear" w:color="auto" w:fill="auto"/>
            <w:vAlign w:val="center"/>
          </w:tcPr>
          <w:p w14:paraId="5A109490">
            <w:pPr>
              <w:jc w:val="center"/>
              <w:rPr>
                <w:rFonts w:hint="eastAsia" w:ascii="宋体" w:hAnsi="宋体" w:eastAsia="宋体" w:cs="宋体"/>
                <w:i w:val="0"/>
                <w:iCs w:val="0"/>
                <w:color w:val="00000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2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AC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遇送检样本不达标时，未及时反馈或单方面取消检验的，每次扣5分</w:t>
            </w:r>
          </w:p>
        </w:tc>
      </w:tr>
      <w:tr w14:paraId="4DED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54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报告出具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0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75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急查项目未在2小时内未回报结果的，每次扣5分</w:t>
            </w:r>
          </w:p>
        </w:tc>
      </w:tr>
      <w:tr w14:paraId="4AEF7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9B826">
            <w:pPr>
              <w:jc w:val="center"/>
              <w:rPr>
                <w:rFonts w:hint="eastAsia" w:ascii="宋体" w:hAnsi="宋体" w:eastAsia="宋体" w:cs="宋体"/>
                <w:i w:val="0"/>
                <w:iCs w:val="0"/>
                <w:color w:val="00000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5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41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常规检测报告未在1-2个工作日出具报告的，每次扣5分</w:t>
            </w:r>
          </w:p>
        </w:tc>
      </w:tr>
      <w:tr w14:paraId="099E0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06E88">
            <w:pPr>
              <w:jc w:val="center"/>
              <w:rPr>
                <w:rFonts w:hint="eastAsia" w:ascii="宋体" w:hAnsi="宋体" w:eastAsia="宋体" w:cs="宋体"/>
                <w:i w:val="0"/>
                <w:iCs w:val="0"/>
                <w:color w:val="00000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2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AE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检验出现危急值，未按规定及时反馈的，每次扣5分</w:t>
            </w:r>
          </w:p>
        </w:tc>
      </w:tr>
      <w:tr w14:paraId="37C68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2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检验耗材</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9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DD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指定、特定耗材检验项目，未提供充足的采样耗材的，每次扣5分</w:t>
            </w:r>
          </w:p>
        </w:tc>
      </w:tr>
      <w:tr w14:paraId="01827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E1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结果查询</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9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E6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不提供纸质检验报告或拒绝提供电子版等在线查询方式的，每次扣5分</w:t>
            </w:r>
          </w:p>
        </w:tc>
      </w:tr>
      <w:tr w14:paraId="29972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BE549">
            <w:pPr>
              <w:jc w:val="center"/>
              <w:rPr>
                <w:rFonts w:hint="eastAsia" w:ascii="宋体" w:hAnsi="宋体" w:eastAsia="宋体" w:cs="宋体"/>
                <w:i w:val="0"/>
                <w:iCs w:val="0"/>
                <w:color w:val="00000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5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D1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检验报告出现信息录入错误，拒绝更正信息的，每次扣5分</w:t>
            </w:r>
          </w:p>
        </w:tc>
      </w:tr>
      <w:tr w14:paraId="26F1E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0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账目核对</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9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DF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未按合同约定提供明细供对账的，每次扣5分</w:t>
            </w:r>
          </w:p>
        </w:tc>
      </w:tr>
    </w:tbl>
    <w:p w14:paraId="12105042">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备注：</w:t>
      </w:r>
    </w:p>
    <w:p w14:paraId="791AC1C2">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lang w:eastAsia="zh-CN"/>
        </w:rPr>
        <w:t>）由监狱医院进行考核，考核内容主要包括样本接收运输、报告出具、特定检验耗材、结果查询、账目核对等，考核分为100分，扣完为止。</w:t>
      </w:r>
    </w:p>
    <w:p w14:paraId="3668EBD8">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lang w:eastAsia="zh-CN"/>
        </w:rPr>
        <w:t>）监狱医院每三个月对本项目合同执行情况进行评分，第二年项目合同续签前综合前三次的评分情况，平均分得分低于85分的，取消第二年项目合同续签。</w:t>
      </w:r>
    </w:p>
    <w:p w14:paraId="539451F0">
      <w:pPr>
        <w:pStyle w:val="13"/>
        <w:rPr>
          <w:rFonts w:hint="default"/>
          <w:lang w:val="en-US" w:eastAsia="zh-CN"/>
        </w:rPr>
      </w:pPr>
    </w:p>
    <w:p w14:paraId="5300CBE0">
      <w:pPr>
        <w:spacing w:line="24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w:t>
      </w:r>
      <w:r>
        <w:rPr>
          <w:rFonts w:hint="eastAsia" w:ascii="宋体" w:hAnsi="宋体" w:cs="宋体"/>
          <w:b/>
          <w:bCs/>
          <w:color w:val="auto"/>
          <w:sz w:val="21"/>
          <w:szCs w:val="21"/>
          <w:lang w:val="en-US" w:eastAsia="zh-CN"/>
        </w:rPr>
        <w:t>四</w:t>
      </w:r>
      <w:r>
        <w:rPr>
          <w:rFonts w:hint="eastAsia" w:ascii="宋体" w:hAnsi="宋体" w:eastAsia="宋体" w:cs="宋体"/>
          <w:b/>
          <w:bCs/>
          <w:color w:val="auto"/>
          <w:sz w:val="21"/>
          <w:szCs w:val="21"/>
          <w:lang w:eastAsia="zh-CN"/>
        </w:rPr>
        <w:t>）检验</w:t>
      </w:r>
      <w:r>
        <w:rPr>
          <w:rFonts w:hint="eastAsia" w:ascii="宋体" w:hAnsi="宋体" w:eastAsia="宋体" w:cs="宋体"/>
          <w:b/>
          <w:bCs/>
          <w:color w:val="auto"/>
          <w:sz w:val="21"/>
          <w:szCs w:val="21"/>
        </w:rPr>
        <w:t>费用结算</w:t>
      </w:r>
      <w:r>
        <w:rPr>
          <w:rFonts w:hint="eastAsia" w:ascii="宋体" w:hAnsi="宋体" w:cs="宋体"/>
          <w:b/>
          <w:bCs/>
          <w:color w:val="auto"/>
          <w:sz w:val="21"/>
          <w:szCs w:val="21"/>
          <w:lang w:val="en-US" w:eastAsia="zh-CN"/>
        </w:rPr>
        <w:t>方式</w:t>
      </w:r>
    </w:p>
    <w:p w14:paraId="0FD91BB3">
      <w:pPr>
        <w:tabs>
          <w:tab w:val="left" w:pos="720"/>
        </w:tabs>
        <w:spacing w:line="360" w:lineRule="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结算原则</w:t>
      </w:r>
    </w:p>
    <w:p w14:paraId="39EF92DE">
      <w:pPr>
        <w:tabs>
          <w:tab w:val="left" w:pos="720"/>
        </w:tabs>
        <w:spacing w:line="360" w:lineRule="auto"/>
        <w:ind w:firstLine="420" w:firstLineChars="200"/>
        <w:rPr>
          <w:rFonts w:hint="eastAsia" w:ascii="宋体" w:hAnsi="宋体" w:eastAsia="宋体" w:cs="宋体"/>
          <w:color w:val="auto"/>
          <w:sz w:val="21"/>
          <w:szCs w:val="21"/>
        </w:rPr>
      </w:pP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1</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在支付检验费用时，</w:t>
      </w:r>
      <w:r>
        <w:rPr>
          <w:rFonts w:hint="eastAsia" w:ascii="宋体" w:hAnsi="宋体" w:eastAsia="宋体" w:cs="宋体"/>
          <w:color w:val="auto"/>
          <w:sz w:val="21"/>
          <w:szCs w:val="21"/>
        </w:rPr>
        <w:t>以实际发生项目结算金额。</w:t>
      </w:r>
    </w:p>
    <w:p w14:paraId="6A657C3D">
      <w:pPr>
        <w:widowControl w:val="0"/>
        <w:spacing w:line="360" w:lineRule="auto"/>
        <w:ind w:firstLine="420"/>
        <w:jc w:val="both"/>
        <w:rPr>
          <w:rFonts w:hint="eastAsia" w:ascii="宋体" w:hAnsi="宋体" w:eastAsia="宋体" w:cs="宋体"/>
          <w:color w:val="auto"/>
          <w:kern w:val="2"/>
          <w:sz w:val="21"/>
          <w:szCs w:val="21"/>
          <w:lang w:val="en-US" w:eastAsia="zh-CN" w:bidi="ar-SA"/>
        </w:rPr>
      </w:pPr>
      <w:r>
        <w:rPr>
          <w:rFonts w:hint="eastAsia" w:ascii="宋体" w:hAnsi="宋体" w:eastAsia="宋体" w:cs="宋体"/>
          <w:b w:val="0"/>
          <w:bCs/>
          <w:i w:val="0"/>
          <w:iCs w:val="0"/>
          <w:color w:val="auto"/>
          <w:kern w:val="2"/>
          <w:sz w:val="21"/>
          <w:szCs w:val="21"/>
          <w:u w:val="none"/>
          <w:lang w:val="en-US" w:eastAsia="zh-CN" w:bidi="ar-SA"/>
        </w:rPr>
        <w:t>（</w:t>
      </w:r>
      <w:r>
        <w:rPr>
          <w:rFonts w:hint="eastAsia" w:ascii="宋体" w:hAnsi="宋体" w:cs="宋体"/>
          <w:b w:val="0"/>
          <w:bCs/>
          <w:i w:val="0"/>
          <w:iCs w:val="0"/>
          <w:color w:val="auto"/>
          <w:kern w:val="2"/>
          <w:sz w:val="21"/>
          <w:szCs w:val="21"/>
          <w:u w:val="none"/>
          <w:lang w:val="en-US" w:eastAsia="zh-CN" w:bidi="ar-SA"/>
        </w:rPr>
        <w:t>2</w:t>
      </w:r>
      <w:r>
        <w:rPr>
          <w:rFonts w:hint="eastAsia" w:ascii="宋体" w:hAnsi="宋体" w:eastAsia="宋体" w:cs="宋体"/>
          <w:b w:val="0"/>
          <w:bCs/>
          <w:i w:val="0"/>
          <w:iCs w:val="0"/>
          <w:color w:val="auto"/>
          <w:kern w:val="2"/>
          <w:sz w:val="21"/>
          <w:szCs w:val="21"/>
          <w:u w:val="none"/>
          <w:lang w:val="en-US" w:eastAsia="zh-CN" w:bidi="ar-SA"/>
        </w:rPr>
        <w:t>）第1</w:t>
      </w:r>
      <w:r>
        <w:rPr>
          <w:rFonts w:hint="eastAsia" w:ascii="宋体" w:hAnsi="宋体" w:eastAsia="宋体" w:cs="宋体"/>
          <w:color w:val="auto"/>
          <w:kern w:val="2"/>
          <w:sz w:val="21"/>
          <w:szCs w:val="21"/>
          <w:lang w:val="en-US" w:eastAsia="zh-CN" w:bidi="ar-SA"/>
        </w:rPr>
        <w:t>-</w:t>
      </w:r>
      <w:r>
        <w:rPr>
          <w:rFonts w:hint="eastAsia" w:ascii="宋体" w:hAnsi="宋体" w:eastAsia="宋体" w:cs="宋体"/>
          <w:b w:val="0"/>
          <w:bCs/>
          <w:i w:val="0"/>
          <w:iCs w:val="0"/>
          <w:color w:val="auto"/>
          <w:kern w:val="2"/>
          <w:sz w:val="21"/>
          <w:szCs w:val="21"/>
          <w:u w:val="none"/>
          <w:lang w:val="en-US" w:eastAsia="zh-CN" w:bidi="ar-SA"/>
        </w:rPr>
        <w:t>70项结算,根据成交下浮率</w:t>
      </w:r>
      <w:r>
        <w:rPr>
          <w:rFonts w:hint="eastAsia" w:ascii="宋体" w:hAnsi="宋体" w:cs="宋体"/>
          <w:b w:val="0"/>
          <w:bCs/>
          <w:i w:val="0"/>
          <w:iCs w:val="0"/>
          <w:color w:val="auto"/>
          <w:kern w:val="2"/>
          <w:sz w:val="21"/>
          <w:szCs w:val="21"/>
          <w:u w:val="none"/>
          <w:lang w:val="en-US" w:eastAsia="zh-CN" w:bidi="ar-SA"/>
        </w:rPr>
        <w:t>计算的成交</w:t>
      </w:r>
      <w:r>
        <w:rPr>
          <w:rFonts w:hint="eastAsia" w:ascii="宋体" w:hAnsi="宋体" w:eastAsia="宋体" w:cs="宋体"/>
          <w:b w:val="0"/>
          <w:bCs/>
          <w:i w:val="0"/>
          <w:iCs w:val="0"/>
          <w:color w:val="auto"/>
          <w:kern w:val="2"/>
          <w:sz w:val="21"/>
          <w:szCs w:val="21"/>
          <w:u w:val="none"/>
          <w:lang w:val="en-US" w:eastAsia="zh-CN" w:bidi="ar-SA"/>
        </w:rPr>
        <w:t>价格结算。</w:t>
      </w:r>
    </w:p>
    <w:p w14:paraId="7B985D34">
      <w:pPr>
        <w:widowControl w:val="0"/>
        <w:spacing w:line="360" w:lineRule="auto"/>
        <w:ind w:firstLine="420"/>
        <w:jc w:val="both"/>
        <w:rPr>
          <w:rFonts w:hint="eastAsia" w:ascii="宋体" w:hAnsi="宋体" w:eastAsia="宋体" w:cs="宋体"/>
          <w:b w:val="0"/>
          <w:bCs/>
          <w:i w:val="0"/>
          <w:iCs w:val="0"/>
          <w:color w:val="auto"/>
          <w:kern w:val="2"/>
          <w:sz w:val="21"/>
          <w:szCs w:val="21"/>
          <w:u w:val="none"/>
          <w:lang w:val="en-US" w:eastAsia="zh-CN" w:bidi="ar-SA"/>
        </w:rPr>
      </w:pPr>
      <w:r>
        <w:rPr>
          <w:rFonts w:hint="eastAsia" w:ascii="宋体" w:hAnsi="宋体" w:eastAsia="宋体" w:cs="宋体"/>
          <w:b w:val="0"/>
          <w:bCs/>
          <w:i w:val="0"/>
          <w:iCs w:val="0"/>
          <w:color w:val="auto"/>
          <w:kern w:val="2"/>
          <w:sz w:val="21"/>
          <w:szCs w:val="21"/>
          <w:u w:val="none"/>
          <w:lang w:val="en-US" w:eastAsia="zh-CN" w:bidi="ar-SA"/>
        </w:rPr>
        <w:t>（</w:t>
      </w:r>
      <w:r>
        <w:rPr>
          <w:rFonts w:hint="eastAsia" w:ascii="宋体" w:hAnsi="宋体" w:cs="宋体"/>
          <w:b w:val="0"/>
          <w:bCs/>
          <w:i w:val="0"/>
          <w:iCs w:val="0"/>
          <w:color w:val="auto"/>
          <w:kern w:val="2"/>
          <w:sz w:val="21"/>
          <w:szCs w:val="21"/>
          <w:u w:val="none"/>
          <w:lang w:val="en-US" w:eastAsia="zh-CN" w:bidi="ar-SA"/>
        </w:rPr>
        <w:t>3</w:t>
      </w:r>
      <w:r>
        <w:rPr>
          <w:rFonts w:hint="eastAsia" w:ascii="宋体" w:hAnsi="宋体" w:eastAsia="宋体" w:cs="宋体"/>
          <w:b w:val="0"/>
          <w:bCs/>
          <w:i w:val="0"/>
          <w:iCs w:val="0"/>
          <w:color w:val="auto"/>
          <w:kern w:val="2"/>
          <w:sz w:val="21"/>
          <w:szCs w:val="21"/>
          <w:u w:val="none"/>
          <w:lang w:val="en-US" w:eastAsia="zh-CN" w:bidi="ar-SA"/>
        </w:rPr>
        <w:t>）</w:t>
      </w:r>
      <w:r>
        <w:rPr>
          <w:rFonts w:hint="eastAsia" w:ascii="宋体" w:hAnsi="宋体" w:eastAsia="宋体" w:cs="宋体"/>
          <w:b w:val="0"/>
          <w:bCs w:val="0"/>
          <w:color w:val="auto"/>
          <w:kern w:val="2"/>
          <w:sz w:val="21"/>
          <w:szCs w:val="21"/>
          <w:u w:val="none"/>
          <w:lang w:val="en-US" w:eastAsia="zh-CN" w:bidi="ar-SA"/>
        </w:rPr>
        <w:t>如有70项以外的其他项目，</w:t>
      </w:r>
      <w:r>
        <w:rPr>
          <w:rFonts w:hint="eastAsia" w:ascii="宋体" w:hAnsi="宋体" w:eastAsia="宋体" w:cs="宋体"/>
          <w:b w:val="0"/>
          <w:bCs/>
          <w:i w:val="0"/>
          <w:iCs w:val="0"/>
          <w:color w:val="auto"/>
          <w:kern w:val="2"/>
          <w:sz w:val="21"/>
          <w:szCs w:val="21"/>
          <w:u w:val="none"/>
          <w:lang w:val="en-US" w:eastAsia="zh-CN" w:bidi="ar-SA"/>
        </w:rPr>
        <w:t>则按</w:t>
      </w:r>
      <w:r>
        <w:rPr>
          <w:rFonts w:hint="eastAsia" w:ascii="宋体" w:hAnsi="宋体" w:cs="宋体"/>
          <w:b w:val="0"/>
          <w:bCs/>
          <w:i w:val="0"/>
          <w:iCs w:val="0"/>
          <w:color w:val="auto"/>
          <w:kern w:val="2"/>
          <w:sz w:val="21"/>
          <w:szCs w:val="21"/>
          <w:u w:val="none"/>
          <w:lang w:val="en-US" w:eastAsia="zh-CN" w:bidi="ar-SA"/>
        </w:rPr>
        <w:t>成交</w:t>
      </w:r>
      <w:r>
        <w:rPr>
          <w:rFonts w:hint="eastAsia" w:ascii="宋体" w:hAnsi="宋体" w:eastAsia="宋体" w:cs="宋体"/>
          <w:b w:val="0"/>
          <w:bCs/>
          <w:i w:val="0"/>
          <w:iCs w:val="0"/>
          <w:color w:val="auto"/>
          <w:kern w:val="2"/>
          <w:sz w:val="21"/>
          <w:szCs w:val="21"/>
          <w:u w:val="none"/>
          <w:lang w:val="en-US" w:eastAsia="zh-CN" w:bidi="ar-SA"/>
        </w:rPr>
        <w:t>供应商现有收费标准（不得高于物价局定价）</w:t>
      </w:r>
      <w:r>
        <w:rPr>
          <w:rFonts w:hint="eastAsia" w:ascii="宋体" w:hAnsi="宋体" w:cs="宋体"/>
          <w:b w:val="0"/>
          <w:bCs/>
          <w:i w:val="0"/>
          <w:iCs w:val="0"/>
          <w:color w:val="auto"/>
          <w:kern w:val="2"/>
          <w:sz w:val="21"/>
          <w:szCs w:val="21"/>
          <w:u w:val="none"/>
          <w:lang w:val="en-US" w:eastAsia="zh-CN" w:bidi="ar-SA"/>
        </w:rPr>
        <w:t>按成交下浮率计算</w:t>
      </w:r>
      <w:r>
        <w:rPr>
          <w:rFonts w:hint="eastAsia" w:ascii="宋体" w:hAnsi="宋体" w:eastAsia="宋体" w:cs="宋体"/>
          <w:b w:val="0"/>
          <w:bCs/>
          <w:i w:val="0"/>
          <w:iCs w:val="0"/>
          <w:color w:val="auto"/>
          <w:kern w:val="2"/>
          <w:sz w:val="21"/>
          <w:szCs w:val="21"/>
          <w:u w:val="none"/>
          <w:lang w:val="en-US" w:eastAsia="zh-CN" w:bidi="ar-SA"/>
        </w:rPr>
        <w:t>后收费，即检验项目的现有收费标准×（1</w:t>
      </w:r>
      <w:r>
        <w:rPr>
          <w:rFonts w:hint="eastAsia" w:ascii="宋体" w:hAnsi="宋体" w:eastAsia="宋体" w:cs="宋体"/>
          <w:color w:val="auto"/>
          <w:kern w:val="2"/>
          <w:sz w:val="21"/>
          <w:szCs w:val="21"/>
          <w:lang w:val="en-US" w:eastAsia="zh-CN" w:bidi="ar-SA"/>
        </w:rPr>
        <w:t>-</w:t>
      </w:r>
      <w:r>
        <w:rPr>
          <w:rFonts w:hint="eastAsia" w:ascii="宋体" w:hAnsi="宋体" w:eastAsia="宋体" w:cs="宋体"/>
          <w:b w:val="0"/>
          <w:bCs/>
          <w:i w:val="0"/>
          <w:iCs w:val="0"/>
          <w:color w:val="auto"/>
          <w:kern w:val="2"/>
          <w:sz w:val="21"/>
          <w:szCs w:val="21"/>
          <w:u w:val="none"/>
          <w:lang w:val="en-US" w:eastAsia="zh-CN" w:bidi="ar-SA"/>
        </w:rPr>
        <w:t>成交下浮率）×当月实际检验次数。</w:t>
      </w:r>
    </w:p>
    <w:p w14:paraId="4D055043">
      <w:pPr>
        <w:tabs>
          <w:tab w:val="left" w:pos="720"/>
        </w:tabs>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 xml:space="preserve">具体支付方式和时间： </w:t>
      </w:r>
    </w:p>
    <w:p w14:paraId="0ACDEB6D">
      <w:pPr>
        <w:spacing w:line="360" w:lineRule="auto"/>
        <w:ind w:firstLine="403" w:firstLineChars="192"/>
        <w:rPr>
          <w:rFonts w:hint="eastAsia" w:ascii="宋体" w:hAnsi="宋体" w:eastAsia="宋体" w:cs="宋体"/>
          <w:b/>
          <w:bCs/>
          <w:color w:val="auto"/>
          <w:kern w:val="0"/>
          <w:sz w:val="21"/>
          <w:szCs w:val="21"/>
          <w:lang w:val="en-GB" w:eastAsia="zh-CN" w:bidi="ar"/>
        </w:rPr>
      </w:pPr>
      <w:r>
        <w:rPr>
          <w:rFonts w:hint="eastAsia" w:ascii="宋体" w:hAnsi="宋体" w:eastAsia="宋体" w:cs="宋体"/>
          <w:color w:val="auto"/>
          <w:sz w:val="21"/>
          <w:szCs w:val="21"/>
          <w:lang w:val="en-US" w:eastAsia="zh-CN"/>
        </w:rPr>
        <w:t>检验单位</w:t>
      </w:r>
      <w:r>
        <w:rPr>
          <w:rFonts w:hint="eastAsia" w:ascii="宋体" w:hAnsi="宋体" w:eastAsia="宋体" w:cs="宋体"/>
          <w:b w:val="0"/>
          <w:bCs w:val="0"/>
          <w:color w:val="auto"/>
          <w:sz w:val="21"/>
          <w:szCs w:val="21"/>
        </w:rPr>
        <w:t>按月发送检验明细清单，清单上需注明人名、</w:t>
      </w:r>
      <w:r>
        <w:rPr>
          <w:rFonts w:hint="eastAsia" w:ascii="宋体" w:hAnsi="宋体" w:eastAsia="宋体" w:cs="宋体"/>
          <w:b w:val="0"/>
          <w:bCs w:val="0"/>
          <w:color w:val="auto"/>
          <w:sz w:val="21"/>
          <w:szCs w:val="21"/>
          <w:lang w:eastAsia="zh-CN"/>
        </w:rPr>
        <w:t>检</w:t>
      </w:r>
      <w:r>
        <w:rPr>
          <w:rFonts w:hint="eastAsia" w:ascii="宋体" w:hAnsi="宋体" w:eastAsia="宋体" w:cs="宋体"/>
          <w:b w:val="0"/>
          <w:bCs w:val="0"/>
          <w:color w:val="auto"/>
          <w:sz w:val="21"/>
          <w:szCs w:val="21"/>
        </w:rPr>
        <w:t>验项目、金额，汇总后将对账表发至监狱医院</w:t>
      </w:r>
      <w:r>
        <w:rPr>
          <w:rFonts w:hint="eastAsia" w:ascii="宋体" w:hAnsi="宋体" w:eastAsia="宋体" w:cs="宋体"/>
          <w:b w:val="0"/>
          <w:bCs w:val="0"/>
          <w:color w:val="auto"/>
          <w:sz w:val="21"/>
          <w:szCs w:val="21"/>
          <w:lang w:eastAsia="zh-CN"/>
        </w:rPr>
        <w:t>指定</w:t>
      </w:r>
      <w:r>
        <w:rPr>
          <w:rFonts w:hint="eastAsia" w:ascii="宋体" w:hAnsi="宋体" w:eastAsia="宋体" w:cs="宋体"/>
          <w:b w:val="0"/>
          <w:bCs w:val="0"/>
          <w:color w:val="auto"/>
          <w:sz w:val="21"/>
          <w:szCs w:val="21"/>
        </w:rPr>
        <w:t>邮箱</w:t>
      </w:r>
      <w:r>
        <w:rPr>
          <w:rFonts w:hint="eastAsia" w:ascii="宋体" w:hAnsi="宋体" w:eastAsia="宋体" w:cs="宋体"/>
          <w:b w:val="0"/>
          <w:bCs w:val="0"/>
          <w:color w:val="auto"/>
          <w:sz w:val="21"/>
          <w:szCs w:val="21"/>
          <w:lang w:eastAsia="zh-CN"/>
        </w:rPr>
        <w:t>或以其他形式发送</w:t>
      </w:r>
      <w:r>
        <w:rPr>
          <w:rFonts w:hint="eastAsia" w:ascii="宋体" w:hAnsi="宋体" w:eastAsia="宋体" w:cs="宋体"/>
          <w:b w:val="0"/>
          <w:bCs w:val="0"/>
          <w:color w:val="auto"/>
          <w:sz w:val="21"/>
          <w:szCs w:val="21"/>
        </w:rPr>
        <w:t>，供</w:t>
      </w:r>
      <w:r>
        <w:rPr>
          <w:rFonts w:hint="eastAsia" w:ascii="宋体" w:hAnsi="宋体" w:eastAsia="宋体" w:cs="宋体"/>
          <w:b w:val="0"/>
          <w:bCs w:val="0"/>
          <w:color w:val="auto"/>
          <w:sz w:val="21"/>
          <w:szCs w:val="21"/>
          <w:lang w:eastAsia="zh-CN"/>
        </w:rPr>
        <w:t>监狱</w:t>
      </w:r>
      <w:r>
        <w:rPr>
          <w:rFonts w:hint="eastAsia" w:ascii="宋体" w:hAnsi="宋体" w:eastAsia="宋体" w:cs="宋体"/>
          <w:b w:val="0"/>
          <w:bCs w:val="0"/>
          <w:color w:val="auto"/>
          <w:sz w:val="21"/>
          <w:szCs w:val="21"/>
        </w:rPr>
        <w:t>医院核对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核对无误后</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将发票、清单送监狱医院</w:t>
      </w:r>
      <w:r>
        <w:rPr>
          <w:rFonts w:hint="eastAsia" w:ascii="宋体" w:hAnsi="宋体" w:eastAsia="宋体" w:cs="宋体"/>
          <w:b w:val="0"/>
          <w:bCs w:val="0"/>
          <w:color w:val="auto"/>
          <w:sz w:val="21"/>
          <w:szCs w:val="21"/>
          <w:lang w:eastAsia="zh-CN"/>
        </w:rPr>
        <w:t>，待</w:t>
      </w:r>
      <w:r>
        <w:rPr>
          <w:rFonts w:hint="eastAsia" w:ascii="宋体" w:hAnsi="宋体" w:eastAsia="宋体" w:cs="宋体"/>
          <w:b w:val="0"/>
          <w:bCs w:val="0"/>
          <w:color w:val="auto"/>
          <w:sz w:val="21"/>
          <w:szCs w:val="21"/>
        </w:rPr>
        <w:t>核实</w:t>
      </w:r>
      <w:r>
        <w:rPr>
          <w:rFonts w:hint="eastAsia" w:ascii="宋体" w:hAnsi="宋体" w:eastAsia="宋体" w:cs="宋体"/>
          <w:color w:val="auto"/>
          <w:sz w:val="21"/>
          <w:szCs w:val="21"/>
          <w:lang w:val="en-US" w:eastAsia="zh-CN"/>
        </w:rPr>
        <w:t>上报审批后结算费用。</w:t>
      </w:r>
    </w:p>
    <w:p w14:paraId="3E36E4DA">
      <w:pPr>
        <w:rPr>
          <w:rFonts w:hint="eastAsia"/>
          <w:color w:val="auto"/>
        </w:rPr>
      </w:pPr>
      <w:bookmarkStart w:id="22" w:name="_Toc31250"/>
      <w:r>
        <w:rPr>
          <w:rFonts w:hint="eastAsia"/>
          <w:color w:val="auto"/>
        </w:rPr>
        <w:br w:type="page"/>
      </w:r>
    </w:p>
    <w:p w14:paraId="65EF5199">
      <w:pPr>
        <w:pStyle w:val="2"/>
        <w:jc w:val="center"/>
        <w:rPr>
          <w:color w:val="auto"/>
        </w:rPr>
      </w:pPr>
      <w:r>
        <w:rPr>
          <w:rFonts w:hint="eastAsia"/>
          <w:color w:val="auto"/>
        </w:rPr>
        <w:t>第三章</w:t>
      </w:r>
      <w:bookmarkStart w:id="23" w:name="_Toc10525515"/>
      <w:r>
        <w:rPr>
          <w:rFonts w:hint="eastAsia"/>
          <w:color w:val="auto"/>
        </w:rPr>
        <w:t xml:space="preserve"> 供应商须知</w:t>
      </w:r>
      <w:bookmarkEnd w:id="22"/>
      <w:bookmarkEnd w:id="23"/>
    </w:p>
    <w:p w14:paraId="1CDDA434">
      <w:pPr>
        <w:pStyle w:val="4"/>
        <w:pageBreakBefore w:val="0"/>
        <w:numPr>
          <w:ilvl w:val="0"/>
          <w:numId w:val="0"/>
        </w:numPr>
        <w:kinsoku/>
        <w:overflowPunct/>
        <w:autoSpaceDE/>
        <w:autoSpaceDN/>
        <w:bidi w:val="0"/>
        <w:adjustRightInd/>
        <w:snapToGrid/>
        <w:spacing w:before="260" w:line="500" w:lineRule="exact"/>
        <w:ind w:left="425" w:leftChars="0" w:hanging="425" w:firstLineChars="0"/>
        <w:textAlignment w:val="auto"/>
        <w:rPr>
          <w:rFonts w:cs="宋体"/>
          <w:bCs/>
          <w:color w:val="auto"/>
          <w:sz w:val="21"/>
          <w:szCs w:val="21"/>
        </w:rPr>
      </w:pPr>
      <w:bookmarkStart w:id="24" w:name="_Toc56846630"/>
      <w:bookmarkStart w:id="25" w:name="_Toc56938696"/>
      <w:bookmarkStart w:id="26" w:name="_Toc52288201"/>
      <w:bookmarkStart w:id="27" w:name="_Toc56855648"/>
      <w:bookmarkStart w:id="28" w:name="_Toc56855616"/>
      <w:bookmarkStart w:id="29" w:name="_Toc52270232"/>
      <w:bookmarkStart w:id="30" w:name="_Toc56851223"/>
      <w:r>
        <w:rPr>
          <w:rFonts w:hint="eastAsia" w:ascii="宋体" w:hAnsi="宋体" w:eastAsia="宋体" w:cs="宋体"/>
          <w:b/>
          <w:bCs/>
          <w:i w:val="0"/>
          <w:color w:val="auto"/>
          <w:kern w:val="2"/>
          <w:sz w:val="21"/>
          <w:szCs w:val="21"/>
          <w:lang w:val="en-US" w:eastAsia="zh-CN" w:bidi="ar-SA"/>
        </w:rPr>
        <w:t>1.</w:t>
      </w:r>
      <w:r>
        <w:rPr>
          <w:rFonts w:hint="eastAsia" w:cs="宋体"/>
          <w:bCs/>
          <w:color w:val="auto"/>
          <w:sz w:val="21"/>
          <w:szCs w:val="21"/>
        </w:rPr>
        <w:t>总体说明</w:t>
      </w:r>
      <w:bookmarkEnd w:id="24"/>
      <w:bookmarkEnd w:id="25"/>
      <w:bookmarkEnd w:id="26"/>
      <w:bookmarkEnd w:id="27"/>
      <w:bookmarkEnd w:id="28"/>
      <w:bookmarkEnd w:id="29"/>
      <w:bookmarkEnd w:id="30"/>
    </w:p>
    <w:p w14:paraId="0EF1FBE1">
      <w:pPr>
        <w:pageBreakBefore w:val="0"/>
        <w:numPr>
          <w:ilvl w:val="1"/>
          <w:numId w:val="0"/>
        </w:numPr>
        <w:kinsoku/>
        <w:overflowPunct/>
        <w:autoSpaceDN/>
        <w:bidi w:val="0"/>
        <w:adjustRightInd/>
        <w:spacing w:line="500" w:lineRule="exact"/>
        <w:ind w:left="567" w:leftChars="0" w:hanging="567" w:firstLineChars="0"/>
        <w:textAlignment w:val="auto"/>
        <w:rPr>
          <w:rFonts w:ascii="宋体" w:hAnsi="宋体" w:cs="宋体"/>
          <w:b/>
          <w:bCs/>
          <w:color w:val="auto"/>
          <w:szCs w:val="21"/>
        </w:rPr>
      </w:pPr>
      <w:r>
        <w:rPr>
          <w:rFonts w:hint="eastAsia" w:ascii="宋体" w:hAnsi="宋体" w:eastAsia="宋体" w:cs="宋体"/>
          <w:b/>
          <w:bCs/>
          <w:i w:val="0"/>
          <w:color w:val="auto"/>
          <w:kern w:val="2"/>
          <w:sz w:val="21"/>
          <w:szCs w:val="21"/>
          <w:lang w:val="en-US" w:eastAsia="zh-CN" w:bidi="ar-SA"/>
        </w:rPr>
        <w:t>1.1.</w:t>
      </w:r>
      <w:r>
        <w:rPr>
          <w:rFonts w:hint="eastAsia" w:ascii="宋体" w:hAnsi="宋体" w:cs="宋体"/>
          <w:b/>
          <w:bCs/>
          <w:color w:val="auto"/>
          <w:szCs w:val="21"/>
        </w:rPr>
        <w:t>招标类别及资金说明</w:t>
      </w:r>
    </w:p>
    <w:p w14:paraId="6E03BBE9">
      <w:pPr>
        <w:pageBreakBefore w:val="0"/>
        <w:kinsoku/>
        <w:overflowPunct/>
        <w:autoSpaceDN/>
        <w:bidi w:val="0"/>
        <w:adjustRightInd/>
        <w:spacing w:line="500" w:lineRule="exact"/>
        <w:ind w:firstLine="420" w:firstLineChars="200"/>
        <w:textAlignment w:val="auto"/>
        <w:rPr>
          <w:rFonts w:hint="default" w:ascii="宋体" w:hAnsi="宋体" w:eastAsia="宋体" w:cs="宋体"/>
          <w:b/>
          <w:bCs w:val="0"/>
          <w:color w:val="auto"/>
          <w:szCs w:val="21"/>
          <w:lang w:val="en-US" w:eastAsia="zh-CN"/>
        </w:rPr>
      </w:pPr>
      <w:r>
        <w:rPr>
          <w:rFonts w:hint="eastAsia" w:ascii="宋体" w:hAnsi="宋体" w:cs="宋体"/>
          <w:bCs/>
          <w:color w:val="auto"/>
          <w:szCs w:val="21"/>
        </w:rPr>
        <w:t>本项目属服务类采购项目。资金来源：财政资金。</w:t>
      </w:r>
    </w:p>
    <w:p w14:paraId="1986D898">
      <w:pPr>
        <w:pageBreakBefore w:val="0"/>
        <w:numPr>
          <w:ilvl w:val="1"/>
          <w:numId w:val="0"/>
        </w:numPr>
        <w:kinsoku/>
        <w:overflowPunct/>
        <w:autoSpaceDN/>
        <w:bidi w:val="0"/>
        <w:adjustRightInd/>
        <w:spacing w:line="500" w:lineRule="exact"/>
        <w:ind w:left="567" w:leftChars="0" w:hanging="567" w:firstLineChars="0"/>
        <w:textAlignment w:val="auto"/>
        <w:rPr>
          <w:rFonts w:ascii="宋体" w:hAnsi="宋体" w:cs="宋体"/>
          <w:b/>
          <w:bCs/>
          <w:color w:val="auto"/>
          <w:szCs w:val="21"/>
        </w:rPr>
      </w:pPr>
      <w:r>
        <w:rPr>
          <w:rFonts w:hint="eastAsia" w:ascii="宋体" w:hAnsi="宋体" w:eastAsia="宋体" w:cs="宋体"/>
          <w:b/>
          <w:bCs/>
          <w:i w:val="0"/>
          <w:color w:val="auto"/>
          <w:kern w:val="2"/>
          <w:sz w:val="21"/>
          <w:szCs w:val="21"/>
          <w:lang w:val="en-US" w:eastAsia="zh-CN" w:bidi="ar-SA"/>
        </w:rPr>
        <w:t>1.2.</w:t>
      </w:r>
      <w:r>
        <w:rPr>
          <w:rFonts w:hint="eastAsia" w:ascii="宋体" w:hAnsi="宋体" w:cs="宋体"/>
          <w:b/>
          <w:bCs/>
          <w:color w:val="auto"/>
          <w:szCs w:val="21"/>
        </w:rPr>
        <w:t>关于限价</w:t>
      </w:r>
    </w:p>
    <w:p w14:paraId="559FE029">
      <w:pPr>
        <w:pageBreakBefore w:val="0"/>
        <w:tabs>
          <w:tab w:val="left" w:pos="1900"/>
        </w:tabs>
        <w:kinsoku/>
        <w:overflowPunct/>
        <w:autoSpaceDN/>
        <w:bidi w:val="0"/>
        <w:adjustRightInd/>
        <w:snapToGrid w:val="0"/>
        <w:spacing w:line="500" w:lineRule="exact"/>
        <w:ind w:firstLine="420" w:firstLineChars="200"/>
        <w:textAlignment w:val="auto"/>
        <w:rPr>
          <w:rFonts w:ascii="宋体" w:hAnsi="宋体" w:cs="宋体"/>
          <w:bCs/>
          <w:color w:val="auto"/>
          <w:szCs w:val="21"/>
        </w:rPr>
      </w:pPr>
      <w:r>
        <w:rPr>
          <w:rFonts w:hint="eastAsia" w:ascii="宋体" w:hAnsi="宋体" w:cs="宋体"/>
          <w:bCs/>
          <w:color w:val="auto"/>
          <w:szCs w:val="21"/>
        </w:rPr>
        <w:t>本项目的最高限价见第一章《磋商邀请函》，磋商报价超出最高限价将被视为无效报价。</w:t>
      </w:r>
    </w:p>
    <w:p w14:paraId="5825D43D">
      <w:pPr>
        <w:pageBreakBefore w:val="0"/>
        <w:numPr>
          <w:ilvl w:val="1"/>
          <w:numId w:val="0"/>
        </w:numPr>
        <w:kinsoku/>
        <w:overflowPunct/>
        <w:autoSpaceDN/>
        <w:bidi w:val="0"/>
        <w:adjustRightInd/>
        <w:spacing w:line="500" w:lineRule="exact"/>
        <w:ind w:left="567" w:leftChars="0" w:hanging="567" w:firstLineChars="0"/>
        <w:textAlignment w:val="auto"/>
        <w:rPr>
          <w:rFonts w:ascii="宋体" w:hAnsi="宋体" w:cs="宋体"/>
          <w:b/>
          <w:bCs/>
          <w:color w:val="auto"/>
          <w:szCs w:val="21"/>
        </w:rPr>
      </w:pPr>
      <w:r>
        <w:rPr>
          <w:rFonts w:hint="eastAsia" w:ascii="宋体" w:hAnsi="宋体" w:eastAsia="宋体" w:cs="宋体"/>
          <w:b/>
          <w:bCs/>
          <w:i w:val="0"/>
          <w:color w:val="auto"/>
          <w:kern w:val="2"/>
          <w:sz w:val="21"/>
          <w:szCs w:val="21"/>
          <w:lang w:val="en-US" w:eastAsia="zh-CN" w:bidi="ar-SA"/>
        </w:rPr>
        <w:t>1.3.</w:t>
      </w:r>
      <w:r>
        <w:rPr>
          <w:rFonts w:hint="eastAsia" w:ascii="宋体" w:hAnsi="宋体" w:cs="宋体"/>
          <w:b/>
          <w:bCs/>
          <w:color w:val="auto"/>
          <w:szCs w:val="21"/>
        </w:rPr>
        <w:t>适用范围</w:t>
      </w:r>
    </w:p>
    <w:p w14:paraId="60AD6616">
      <w:pPr>
        <w:pageBreakBefore w:val="0"/>
        <w:kinsoku/>
        <w:overflowPunct/>
        <w:autoSpaceDN/>
        <w:bidi w:val="0"/>
        <w:adjustRightInd/>
        <w:spacing w:line="500" w:lineRule="exact"/>
        <w:ind w:firstLine="420" w:firstLineChars="200"/>
        <w:textAlignment w:val="auto"/>
        <w:rPr>
          <w:rFonts w:ascii="宋体" w:hAnsi="宋体" w:cs="宋体"/>
          <w:bCs/>
          <w:color w:val="auto"/>
          <w:szCs w:val="21"/>
        </w:rPr>
      </w:pPr>
      <w:r>
        <w:rPr>
          <w:rFonts w:hint="eastAsia" w:ascii="宋体" w:hAnsi="宋体" w:cs="宋体"/>
          <w:bCs/>
          <w:color w:val="auto"/>
          <w:szCs w:val="21"/>
        </w:rPr>
        <w:t>本项目仅适用于本磋商文件所述的</w:t>
      </w:r>
      <w:r>
        <w:rPr>
          <w:rFonts w:hint="eastAsia" w:ascii="宋体" w:hAnsi="宋体" w:cs="宋体"/>
          <w:color w:val="auto"/>
          <w:szCs w:val="21"/>
        </w:rPr>
        <w:t>报价内容</w:t>
      </w:r>
      <w:r>
        <w:rPr>
          <w:rFonts w:hint="eastAsia" w:ascii="宋体" w:hAnsi="宋体" w:cs="宋体"/>
          <w:bCs/>
          <w:color w:val="auto"/>
          <w:szCs w:val="21"/>
        </w:rPr>
        <w:t>。</w:t>
      </w:r>
    </w:p>
    <w:p w14:paraId="0BBA2C54">
      <w:pPr>
        <w:pageBreakBefore w:val="0"/>
        <w:numPr>
          <w:ilvl w:val="1"/>
          <w:numId w:val="0"/>
        </w:numPr>
        <w:kinsoku/>
        <w:overflowPunct/>
        <w:autoSpaceDN/>
        <w:bidi w:val="0"/>
        <w:adjustRightInd/>
        <w:spacing w:line="500" w:lineRule="exact"/>
        <w:ind w:left="567" w:leftChars="0" w:hanging="567" w:firstLineChars="0"/>
        <w:textAlignment w:val="auto"/>
        <w:rPr>
          <w:rFonts w:ascii="宋体" w:hAnsi="宋体" w:cs="宋体"/>
          <w:b/>
          <w:bCs/>
          <w:color w:val="auto"/>
          <w:szCs w:val="21"/>
        </w:rPr>
      </w:pPr>
      <w:r>
        <w:rPr>
          <w:rFonts w:hint="eastAsia" w:ascii="宋体" w:hAnsi="宋体" w:eastAsia="宋体" w:cs="宋体"/>
          <w:b/>
          <w:bCs/>
          <w:i w:val="0"/>
          <w:color w:val="auto"/>
          <w:kern w:val="2"/>
          <w:sz w:val="21"/>
          <w:szCs w:val="21"/>
          <w:lang w:val="en-US" w:eastAsia="zh-CN" w:bidi="ar-SA"/>
        </w:rPr>
        <w:t>1.4.</w:t>
      </w:r>
      <w:r>
        <w:rPr>
          <w:rFonts w:hint="eastAsia" w:ascii="宋体" w:hAnsi="宋体" w:cs="宋体"/>
          <w:b/>
          <w:bCs/>
          <w:color w:val="auto"/>
          <w:szCs w:val="21"/>
        </w:rPr>
        <w:t>合格的供应商</w:t>
      </w:r>
    </w:p>
    <w:p w14:paraId="17046031">
      <w:pPr>
        <w:pageBreakBefore w:val="0"/>
        <w:tabs>
          <w:tab w:val="left" w:pos="1164"/>
        </w:tabs>
        <w:kinsoku/>
        <w:overflowPunct/>
        <w:autoSpaceDN/>
        <w:bidi w:val="0"/>
        <w:adjustRightInd/>
        <w:spacing w:line="500" w:lineRule="exact"/>
        <w:textAlignment w:val="auto"/>
        <w:rPr>
          <w:rFonts w:ascii="宋体" w:hAnsi="宋体" w:cs="宋体"/>
          <w:color w:val="auto"/>
          <w:szCs w:val="21"/>
        </w:rPr>
      </w:pPr>
      <w:r>
        <w:rPr>
          <w:rFonts w:hint="eastAsia" w:ascii="宋体" w:hAnsi="宋体" w:cs="宋体"/>
          <w:color w:val="auto"/>
          <w:szCs w:val="21"/>
        </w:rPr>
        <w:t>1.4.1具有符合《磋商邀请函》中供应商资格要求；</w:t>
      </w:r>
    </w:p>
    <w:p w14:paraId="1A17DCDB">
      <w:pPr>
        <w:pageBreakBefore w:val="0"/>
        <w:kinsoku/>
        <w:overflowPunct/>
        <w:autoSpaceDN/>
        <w:bidi w:val="0"/>
        <w:adjustRightInd/>
        <w:spacing w:line="500" w:lineRule="exact"/>
        <w:ind w:left="420" w:hanging="420" w:hangingChars="200"/>
        <w:textAlignment w:val="auto"/>
        <w:rPr>
          <w:rFonts w:ascii="宋体" w:hAnsi="宋体" w:cs="宋体"/>
          <w:color w:val="auto"/>
          <w:szCs w:val="21"/>
        </w:rPr>
      </w:pPr>
      <w:r>
        <w:rPr>
          <w:rFonts w:hint="eastAsia" w:ascii="宋体" w:hAnsi="宋体" w:cs="宋体"/>
          <w:color w:val="auto"/>
          <w:szCs w:val="21"/>
        </w:rPr>
        <w:t>1.4.2是独立于采购人和采购代理机构的供应商；</w:t>
      </w:r>
    </w:p>
    <w:p w14:paraId="110BA7B8">
      <w:pPr>
        <w:pageBreakBefore w:val="0"/>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1.4.3单位负责人为同一人或者存在直接控股、管理关系的不同供应商，不得参加同一合同项下的采购活动；</w:t>
      </w:r>
    </w:p>
    <w:p w14:paraId="4E610796">
      <w:pPr>
        <w:pageBreakBefore w:val="0"/>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1.4.4 为本项目提供整体设计、规范编制或者项目管理、监理、检测等服务的供应商，不得再参加本项目的采购活动；</w:t>
      </w:r>
    </w:p>
    <w:p w14:paraId="18BA06A0">
      <w:pPr>
        <w:pageBreakBefore w:val="0"/>
        <w:tabs>
          <w:tab w:val="left" w:pos="1164"/>
        </w:tabs>
        <w:kinsoku/>
        <w:overflowPunct/>
        <w:autoSpaceDN/>
        <w:bidi w:val="0"/>
        <w:adjustRightInd/>
        <w:spacing w:line="500" w:lineRule="exact"/>
        <w:textAlignment w:val="auto"/>
        <w:rPr>
          <w:rFonts w:ascii="宋体" w:hAnsi="宋体" w:cs="宋体"/>
          <w:color w:val="auto"/>
          <w:szCs w:val="21"/>
        </w:rPr>
      </w:pPr>
      <w:r>
        <w:rPr>
          <w:rFonts w:hint="eastAsia" w:ascii="宋体" w:hAnsi="宋体" w:cs="宋体"/>
          <w:color w:val="auto"/>
          <w:szCs w:val="21"/>
        </w:rPr>
        <w:t>1.4.5已在代理机构获取</w:t>
      </w:r>
      <w:r>
        <w:rPr>
          <w:rFonts w:hint="eastAsia" w:ascii="宋体" w:hAnsi="宋体" w:cs="宋体"/>
          <w:color w:val="auto"/>
          <w:szCs w:val="21"/>
          <w:lang w:val="en-US" w:eastAsia="zh-CN"/>
        </w:rPr>
        <w:t>采购</w:t>
      </w:r>
      <w:r>
        <w:rPr>
          <w:rFonts w:hint="eastAsia" w:ascii="宋体" w:hAnsi="宋体" w:cs="宋体"/>
          <w:color w:val="auto"/>
          <w:szCs w:val="21"/>
        </w:rPr>
        <w:t>文件的供应商。</w:t>
      </w:r>
    </w:p>
    <w:p w14:paraId="0559B4E6">
      <w:pPr>
        <w:pageBreakBefore w:val="0"/>
        <w:numPr>
          <w:ilvl w:val="1"/>
          <w:numId w:val="0"/>
        </w:numPr>
        <w:kinsoku/>
        <w:overflowPunct/>
        <w:autoSpaceDN/>
        <w:bidi w:val="0"/>
        <w:adjustRightInd/>
        <w:spacing w:line="500" w:lineRule="exact"/>
        <w:ind w:left="567" w:leftChars="0" w:hanging="567" w:firstLineChars="0"/>
        <w:textAlignment w:val="auto"/>
        <w:rPr>
          <w:rFonts w:ascii="宋体" w:hAnsi="宋体" w:cs="宋体"/>
          <w:b/>
          <w:bCs/>
          <w:color w:val="auto"/>
          <w:szCs w:val="21"/>
        </w:rPr>
      </w:pPr>
      <w:r>
        <w:rPr>
          <w:rFonts w:hint="eastAsia" w:ascii="宋体" w:hAnsi="宋体" w:eastAsia="宋体" w:cs="宋体"/>
          <w:b/>
          <w:bCs/>
          <w:i w:val="0"/>
          <w:color w:val="auto"/>
          <w:kern w:val="2"/>
          <w:sz w:val="21"/>
          <w:szCs w:val="21"/>
          <w:lang w:val="en-US" w:eastAsia="zh-CN" w:bidi="ar-SA"/>
        </w:rPr>
        <w:t>1.5.</w:t>
      </w:r>
      <w:r>
        <w:rPr>
          <w:rFonts w:hint="eastAsia" w:ascii="宋体" w:hAnsi="宋体" w:cs="宋体"/>
          <w:b/>
          <w:bCs/>
          <w:color w:val="auto"/>
          <w:szCs w:val="21"/>
        </w:rPr>
        <w:t>供应商应承担所有参与本次投标的全部费用。</w:t>
      </w:r>
    </w:p>
    <w:p w14:paraId="2DD8F474">
      <w:pPr>
        <w:pageBreakBefore w:val="0"/>
        <w:numPr>
          <w:ilvl w:val="1"/>
          <w:numId w:val="0"/>
        </w:numPr>
        <w:kinsoku/>
        <w:overflowPunct/>
        <w:autoSpaceDN/>
        <w:bidi w:val="0"/>
        <w:adjustRightInd/>
        <w:spacing w:line="500" w:lineRule="exact"/>
        <w:ind w:left="567" w:leftChars="0" w:hanging="567" w:firstLineChars="0"/>
        <w:textAlignment w:val="auto"/>
        <w:rPr>
          <w:rFonts w:ascii="宋体" w:hAnsi="宋体" w:cs="宋体"/>
          <w:b/>
          <w:bCs/>
          <w:color w:val="auto"/>
          <w:szCs w:val="21"/>
        </w:rPr>
      </w:pPr>
      <w:r>
        <w:rPr>
          <w:rFonts w:hint="eastAsia" w:ascii="宋体" w:hAnsi="宋体" w:eastAsia="宋体" w:cs="宋体"/>
          <w:b/>
          <w:bCs/>
          <w:i w:val="0"/>
          <w:color w:val="auto"/>
          <w:kern w:val="2"/>
          <w:sz w:val="21"/>
          <w:szCs w:val="21"/>
          <w:lang w:val="en-US" w:eastAsia="zh-CN" w:bidi="ar-SA"/>
        </w:rPr>
        <w:t>1.6.</w:t>
      </w:r>
      <w:r>
        <w:rPr>
          <w:rFonts w:hint="eastAsia" w:ascii="宋体" w:hAnsi="宋体" w:cs="宋体"/>
          <w:b/>
          <w:bCs/>
          <w:color w:val="auto"/>
          <w:szCs w:val="21"/>
        </w:rPr>
        <w:t>合格的货物和服务</w:t>
      </w:r>
    </w:p>
    <w:p w14:paraId="36A5727E">
      <w:pPr>
        <w:pageBreakBefore w:val="0"/>
        <w:tabs>
          <w:tab w:val="left" w:pos="1164"/>
          <w:tab w:val="left" w:pos="2160"/>
        </w:tabs>
        <w:kinsoku/>
        <w:overflowPunct/>
        <w:autoSpaceDN/>
        <w:bidi w:val="0"/>
        <w:adjustRightInd/>
        <w:spacing w:line="500" w:lineRule="exact"/>
        <w:textAlignment w:val="auto"/>
        <w:rPr>
          <w:rFonts w:ascii="宋体" w:hAnsi="宋体" w:cs="宋体"/>
          <w:color w:val="auto"/>
          <w:szCs w:val="21"/>
        </w:rPr>
      </w:pPr>
      <w:r>
        <w:rPr>
          <w:rFonts w:hint="eastAsia" w:ascii="宋体" w:hAnsi="宋体" w:cs="宋体"/>
          <w:color w:val="auto"/>
          <w:szCs w:val="21"/>
        </w:rPr>
        <w:t>1.6.1供应商提供的所有货物及服务，其来源均应符合相关法律法规的规定。</w:t>
      </w:r>
    </w:p>
    <w:p w14:paraId="19DA4F6E">
      <w:pPr>
        <w:pageBreakBefore w:val="0"/>
        <w:tabs>
          <w:tab w:val="left" w:pos="1164"/>
          <w:tab w:val="left" w:pos="2160"/>
        </w:tabs>
        <w:kinsoku/>
        <w:overflowPunct/>
        <w:autoSpaceDN/>
        <w:bidi w:val="0"/>
        <w:adjustRightInd/>
        <w:spacing w:line="500" w:lineRule="exact"/>
        <w:textAlignment w:val="auto"/>
        <w:rPr>
          <w:rFonts w:ascii="宋体" w:hAnsi="宋体" w:cs="宋体"/>
          <w:color w:val="auto"/>
          <w:szCs w:val="21"/>
        </w:rPr>
      </w:pPr>
      <w:r>
        <w:rPr>
          <w:rFonts w:hint="eastAsia" w:ascii="宋体" w:hAnsi="宋体" w:cs="宋体"/>
          <w:color w:val="auto"/>
          <w:szCs w:val="21"/>
        </w:rPr>
        <w:t>1.6.2本项目采购本国产品。</w:t>
      </w:r>
    </w:p>
    <w:p w14:paraId="3E04604F">
      <w:pPr>
        <w:pageBreakBefore w:val="0"/>
        <w:kinsoku/>
        <w:overflowPunct/>
        <w:autoSpaceDN/>
        <w:bidi w:val="0"/>
        <w:adjustRightInd/>
        <w:spacing w:line="500" w:lineRule="exact"/>
        <w:textAlignment w:val="auto"/>
        <w:rPr>
          <w:rFonts w:ascii="宋体" w:hAnsi="宋体" w:cs="宋体"/>
          <w:b/>
          <w:bCs/>
          <w:color w:val="auto"/>
          <w:szCs w:val="21"/>
        </w:rPr>
      </w:pPr>
      <w:r>
        <w:rPr>
          <w:rFonts w:hint="eastAsia" w:ascii="宋体" w:hAnsi="宋体" w:cs="宋体"/>
          <w:color w:val="auto"/>
          <w:szCs w:val="21"/>
        </w:rPr>
        <w:t>1.6.3采购人将拒绝接受不合格的货物和服务。</w:t>
      </w:r>
    </w:p>
    <w:p w14:paraId="360306B3">
      <w:pPr>
        <w:pageBreakBefore w:val="0"/>
        <w:numPr>
          <w:ilvl w:val="1"/>
          <w:numId w:val="0"/>
        </w:numPr>
        <w:kinsoku/>
        <w:overflowPunct/>
        <w:autoSpaceDN/>
        <w:bidi w:val="0"/>
        <w:adjustRightInd/>
        <w:spacing w:line="500" w:lineRule="exact"/>
        <w:ind w:left="567" w:leftChars="0" w:hanging="567" w:firstLineChars="0"/>
        <w:textAlignment w:val="auto"/>
        <w:rPr>
          <w:rFonts w:ascii="宋体" w:hAnsi="宋体" w:cs="宋体"/>
          <w:b/>
          <w:bCs/>
          <w:color w:val="auto"/>
          <w:szCs w:val="21"/>
        </w:rPr>
      </w:pPr>
      <w:r>
        <w:rPr>
          <w:rFonts w:hint="eastAsia" w:ascii="宋体" w:hAnsi="宋体" w:eastAsia="宋体" w:cs="宋体"/>
          <w:b/>
          <w:bCs/>
          <w:i w:val="0"/>
          <w:color w:val="auto"/>
          <w:kern w:val="2"/>
          <w:sz w:val="21"/>
          <w:szCs w:val="21"/>
          <w:lang w:val="en-US" w:eastAsia="zh-CN" w:bidi="ar-SA"/>
        </w:rPr>
        <w:t>1.7.</w:t>
      </w:r>
      <w:r>
        <w:rPr>
          <w:rFonts w:hint="eastAsia" w:ascii="宋体" w:hAnsi="宋体" w:cs="宋体"/>
          <w:b/>
          <w:bCs/>
          <w:color w:val="auto"/>
          <w:szCs w:val="21"/>
        </w:rPr>
        <w:t>定义</w:t>
      </w:r>
    </w:p>
    <w:p w14:paraId="235D8F53">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color w:val="auto"/>
          <w:szCs w:val="21"/>
        </w:rPr>
      </w:pPr>
      <w:r>
        <w:rPr>
          <w:rFonts w:hint="eastAsia" w:ascii="宋体" w:hAnsi="宋体" w:eastAsia="宋体" w:cs="宋体"/>
          <w:b w:val="0"/>
          <w:i w:val="0"/>
          <w:color w:val="auto"/>
          <w:kern w:val="2"/>
          <w:sz w:val="21"/>
          <w:szCs w:val="21"/>
          <w:lang w:val="en-US" w:eastAsia="zh-CN" w:bidi="ar-SA"/>
        </w:rPr>
        <w:t>1.7.1.</w:t>
      </w:r>
      <w:r>
        <w:rPr>
          <w:rFonts w:hint="eastAsia" w:ascii="宋体" w:hAnsi="宋体" w:cs="宋体"/>
          <w:color w:val="auto"/>
          <w:szCs w:val="21"/>
        </w:rPr>
        <w:t>“采购人”指本采购项目的委托人，亦指“业主”、“招标人”。</w:t>
      </w:r>
    </w:p>
    <w:p w14:paraId="52DCFC17">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color w:val="auto"/>
          <w:szCs w:val="21"/>
        </w:rPr>
      </w:pPr>
      <w:r>
        <w:rPr>
          <w:rFonts w:hint="eastAsia" w:ascii="宋体" w:hAnsi="宋体" w:eastAsia="宋体" w:cs="宋体"/>
          <w:b w:val="0"/>
          <w:i w:val="0"/>
          <w:color w:val="auto"/>
          <w:kern w:val="2"/>
          <w:sz w:val="21"/>
          <w:szCs w:val="21"/>
          <w:lang w:val="en-US" w:eastAsia="zh-CN" w:bidi="ar-SA"/>
        </w:rPr>
        <w:t>1.7.2.</w:t>
      </w:r>
      <w:r>
        <w:rPr>
          <w:rFonts w:hint="eastAsia" w:ascii="宋体" w:hAnsi="宋体" w:cs="宋体"/>
          <w:color w:val="auto"/>
          <w:szCs w:val="21"/>
        </w:rPr>
        <w:t>“采购代理机构”指韶关市君信招标代理有限公司。</w:t>
      </w:r>
    </w:p>
    <w:p w14:paraId="3D53CEE6">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color w:val="auto"/>
          <w:szCs w:val="21"/>
        </w:rPr>
      </w:pPr>
      <w:r>
        <w:rPr>
          <w:rFonts w:hint="eastAsia" w:ascii="宋体" w:hAnsi="宋体" w:eastAsia="宋体" w:cs="宋体"/>
          <w:b w:val="0"/>
          <w:i w:val="0"/>
          <w:color w:val="auto"/>
          <w:kern w:val="2"/>
          <w:sz w:val="21"/>
          <w:szCs w:val="21"/>
          <w:lang w:val="en-US" w:eastAsia="zh-CN" w:bidi="ar-SA"/>
        </w:rPr>
        <w:t>1.7.3.</w:t>
      </w:r>
      <w:r>
        <w:rPr>
          <w:rFonts w:hint="eastAsia" w:ascii="宋体" w:hAnsi="宋体" w:cs="宋体"/>
          <w:color w:val="auto"/>
          <w:szCs w:val="21"/>
        </w:rPr>
        <w:t>“供应商”指向采购代理机构提交响应文件并参与磋商的法人或其他组织，亦指“供应商”。</w:t>
      </w:r>
    </w:p>
    <w:p w14:paraId="494E7658">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color w:val="auto"/>
          <w:szCs w:val="21"/>
        </w:rPr>
      </w:pPr>
      <w:r>
        <w:rPr>
          <w:rFonts w:hint="eastAsia" w:ascii="宋体" w:hAnsi="宋体" w:eastAsia="宋体" w:cs="宋体"/>
          <w:b w:val="0"/>
          <w:i w:val="0"/>
          <w:color w:val="auto"/>
          <w:kern w:val="2"/>
          <w:sz w:val="21"/>
          <w:szCs w:val="21"/>
          <w:lang w:val="en-US" w:eastAsia="zh-CN" w:bidi="ar-SA"/>
        </w:rPr>
        <w:t>1.7.4.</w:t>
      </w:r>
      <w:r>
        <w:rPr>
          <w:rFonts w:hint="eastAsia" w:ascii="宋体" w:hAnsi="宋体" w:cs="宋体"/>
          <w:color w:val="auto"/>
          <w:szCs w:val="21"/>
        </w:rPr>
        <w:t>“成交供应商”指经法定程序确定并授予合同的响应供应商。</w:t>
      </w:r>
    </w:p>
    <w:p w14:paraId="27DF5975">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color w:val="auto"/>
          <w:szCs w:val="21"/>
        </w:rPr>
      </w:pPr>
      <w:r>
        <w:rPr>
          <w:rFonts w:hint="eastAsia" w:ascii="宋体" w:hAnsi="宋体" w:eastAsia="宋体" w:cs="宋体"/>
          <w:b w:val="0"/>
          <w:i w:val="0"/>
          <w:color w:val="auto"/>
          <w:kern w:val="2"/>
          <w:sz w:val="21"/>
          <w:szCs w:val="21"/>
          <w:lang w:val="en-US" w:eastAsia="zh-CN" w:bidi="ar-SA"/>
        </w:rPr>
        <w:t>1.7.5.</w:t>
      </w:r>
      <w:r>
        <w:rPr>
          <w:rFonts w:hint="eastAsia" w:ascii="宋体" w:hAnsi="宋体" w:cs="宋体"/>
          <w:color w:val="auto"/>
          <w:szCs w:val="21"/>
        </w:rPr>
        <w:t>“甲方”指采购人，合同的一方当事人。</w:t>
      </w:r>
    </w:p>
    <w:p w14:paraId="4B6046C5">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color w:val="auto"/>
          <w:szCs w:val="21"/>
        </w:rPr>
      </w:pPr>
      <w:r>
        <w:rPr>
          <w:rFonts w:hint="eastAsia" w:ascii="宋体" w:hAnsi="宋体" w:eastAsia="宋体" w:cs="宋体"/>
          <w:b w:val="0"/>
          <w:i w:val="0"/>
          <w:color w:val="auto"/>
          <w:kern w:val="2"/>
          <w:sz w:val="21"/>
          <w:szCs w:val="21"/>
          <w:lang w:val="en-US" w:eastAsia="zh-CN" w:bidi="ar-SA"/>
        </w:rPr>
        <w:t>1.7.6.</w:t>
      </w:r>
      <w:r>
        <w:rPr>
          <w:rFonts w:hint="eastAsia" w:ascii="宋体" w:hAnsi="宋体" w:cs="宋体"/>
          <w:color w:val="auto"/>
          <w:szCs w:val="21"/>
        </w:rPr>
        <w:t>“乙方”系指成交供应商，合同的一方当事人。</w:t>
      </w:r>
    </w:p>
    <w:p w14:paraId="7E4F9FC6">
      <w:pPr>
        <w:pageBreakBefore w:val="0"/>
        <w:numPr>
          <w:ilvl w:val="2"/>
          <w:numId w:val="0"/>
        </w:numPr>
        <w:tabs>
          <w:tab w:val="left" w:pos="180"/>
          <w:tab w:val="left" w:pos="540"/>
        </w:tabs>
        <w:kinsoku/>
        <w:overflowPunct/>
        <w:autoSpaceDN/>
        <w:bidi w:val="0"/>
        <w:adjustRightInd/>
        <w:spacing w:line="500" w:lineRule="exact"/>
        <w:ind w:left="624" w:leftChars="0" w:hanging="624" w:firstLineChars="0"/>
        <w:textAlignment w:val="auto"/>
        <w:rPr>
          <w:rFonts w:ascii="宋体" w:hAnsi="宋体" w:cs="宋体"/>
          <w:bCs/>
          <w:color w:val="auto"/>
          <w:szCs w:val="21"/>
        </w:rPr>
      </w:pPr>
      <w:r>
        <w:rPr>
          <w:rFonts w:hint="eastAsia" w:ascii="宋体" w:hAnsi="宋体" w:eastAsia="宋体" w:cs="宋体"/>
          <w:b w:val="0"/>
          <w:bCs/>
          <w:i w:val="0"/>
          <w:color w:val="auto"/>
          <w:kern w:val="2"/>
          <w:sz w:val="21"/>
          <w:szCs w:val="21"/>
          <w:lang w:val="en-US" w:eastAsia="zh-CN" w:bidi="ar-SA"/>
        </w:rPr>
        <w:t>1.7.7.</w:t>
      </w:r>
      <w:r>
        <w:rPr>
          <w:rFonts w:hint="eastAsia" w:ascii="宋体" w:hAnsi="宋体" w:cs="宋体"/>
          <w:bCs/>
          <w:color w:val="auto"/>
          <w:szCs w:val="21"/>
        </w:rPr>
        <w:t>“日期”指公历日,“时间”指北京时间。</w:t>
      </w:r>
    </w:p>
    <w:p w14:paraId="6E9102D3">
      <w:pPr>
        <w:pageBreakBefore w:val="0"/>
        <w:numPr>
          <w:ilvl w:val="2"/>
          <w:numId w:val="0"/>
        </w:numPr>
        <w:tabs>
          <w:tab w:val="left" w:pos="720"/>
          <w:tab w:val="left" w:pos="1050"/>
          <w:tab w:val="left" w:pos="1155"/>
        </w:tabs>
        <w:kinsoku/>
        <w:overflowPunct/>
        <w:autoSpaceDN/>
        <w:bidi w:val="0"/>
        <w:adjustRightInd/>
        <w:spacing w:line="500" w:lineRule="exact"/>
        <w:ind w:left="735" w:leftChars="0" w:hanging="735" w:hangingChars="350"/>
        <w:textAlignment w:val="auto"/>
        <w:rPr>
          <w:rFonts w:ascii="宋体" w:hAnsi="宋体" w:cs="宋体"/>
          <w:color w:val="auto"/>
          <w:szCs w:val="21"/>
        </w:rPr>
      </w:pPr>
      <w:r>
        <w:rPr>
          <w:rFonts w:hint="eastAsia" w:ascii="宋体" w:hAnsi="宋体" w:eastAsia="宋体" w:cs="宋体"/>
          <w:b w:val="0"/>
          <w:i w:val="0"/>
          <w:color w:val="auto"/>
          <w:kern w:val="2"/>
          <w:sz w:val="21"/>
          <w:szCs w:val="21"/>
          <w:lang w:val="en-US" w:eastAsia="zh-CN" w:bidi="ar-SA"/>
        </w:rPr>
        <w:t>1.7.8.</w:t>
      </w:r>
      <w:r>
        <w:rPr>
          <w:rFonts w:hint="eastAsia" w:ascii="宋体" w:hAnsi="宋体" w:cs="宋体"/>
          <w:bCs/>
          <w:color w:val="auto"/>
          <w:szCs w:val="21"/>
        </w:rPr>
        <w:t>“实质性响应”系指符合磋商文件要求、条款、条件和规定，且没有重大偏离或保留。重大偏离或保留指影响到磋商文件规定的范围、质量和性能，或限制采购人的权</w:t>
      </w:r>
      <w:r>
        <w:rPr>
          <w:rFonts w:hint="eastAsia" w:ascii="宋体" w:hAnsi="宋体" w:cs="宋体"/>
          <w:color w:val="auto"/>
          <w:szCs w:val="21"/>
        </w:rPr>
        <w:t>利和供应商的义务的规定，而纠正这些偏离将影响到其他递交实质性响应</w:t>
      </w:r>
      <w:r>
        <w:rPr>
          <w:rFonts w:hint="eastAsia" w:ascii="宋体" w:hAnsi="宋体" w:cs="宋体"/>
          <w:bCs/>
          <w:color w:val="auto"/>
          <w:szCs w:val="21"/>
        </w:rPr>
        <w:t>磋商文件</w:t>
      </w:r>
      <w:r>
        <w:rPr>
          <w:rFonts w:hint="eastAsia" w:ascii="宋体" w:hAnsi="宋体" w:cs="宋体"/>
          <w:color w:val="auto"/>
          <w:szCs w:val="21"/>
        </w:rPr>
        <w:t>的供应商的公平竞争地位。</w:t>
      </w:r>
    </w:p>
    <w:p w14:paraId="3206FFF1">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color w:val="auto"/>
          <w:szCs w:val="21"/>
        </w:rPr>
      </w:pPr>
      <w:r>
        <w:rPr>
          <w:rFonts w:hint="eastAsia" w:ascii="宋体" w:hAnsi="宋体" w:eastAsia="宋体" w:cs="宋体"/>
          <w:b w:val="0"/>
          <w:i w:val="0"/>
          <w:color w:val="auto"/>
          <w:kern w:val="2"/>
          <w:sz w:val="21"/>
          <w:szCs w:val="21"/>
          <w:lang w:val="en-US" w:eastAsia="zh-CN" w:bidi="ar-SA"/>
        </w:rPr>
        <w:t>1.7.9.</w:t>
      </w:r>
      <w:r>
        <w:rPr>
          <w:rFonts w:hint="eastAsia" w:ascii="宋体" w:hAnsi="宋体" w:cs="宋体"/>
          <w:color w:val="auto"/>
          <w:szCs w:val="21"/>
        </w:rPr>
        <w:t>磋商文件中的标题或题名仅起引导作用，而不应该作为对磋商文件内容的理解或解释。</w:t>
      </w:r>
    </w:p>
    <w:p w14:paraId="3F0B0469">
      <w:pPr>
        <w:pageBreakBefore w:val="0"/>
        <w:numPr>
          <w:ilvl w:val="1"/>
          <w:numId w:val="0"/>
        </w:numPr>
        <w:kinsoku/>
        <w:overflowPunct/>
        <w:autoSpaceDN/>
        <w:bidi w:val="0"/>
        <w:adjustRightInd/>
        <w:spacing w:line="500" w:lineRule="exact"/>
        <w:ind w:left="567" w:leftChars="0" w:hanging="567" w:firstLineChars="0"/>
        <w:textAlignment w:val="auto"/>
        <w:rPr>
          <w:rFonts w:ascii="宋体" w:hAnsi="宋体" w:cs="宋体"/>
          <w:b/>
          <w:bCs/>
          <w:color w:val="auto"/>
          <w:szCs w:val="21"/>
        </w:rPr>
      </w:pPr>
      <w:r>
        <w:rPr>
          <w:rFonts w:hint="eastAsia" w:ascii="宋体" w:hAnsi="宋体" w:eastAsia="宋体" w:cs="宋体"/>
          <w:b/>
          <w:bCs/>
          <w:i w:val="0"/>
          <w:color w:val="auto"/>
          <w:kern w:val="2"/>
          <w:sz w:val="21"/>
          <w:szCs w:val="21"/>
          <w:lang w:val="en-US" w:eastAsia="zh-CN" w:bidi="ar-SA"/>
        </w:rPr>
        <w:t>1.8.</w:t>
      </w:r>
      <w:r>
        <w:rPr>
          <w:rFonts w:hint="eastAsia" w:ascii="宋体" w:hAnsi="宋体" w:cs="宋体"/>
          <w:b/>
          <w:bCs/>
          <w:color w:val="auto"/>
          <w:szCs w:val="21"/>
        </w:rPr>
        <w:t>知识产权</w:t>
      </w:r>
    </w:p>
    <w:p w14:paraId="452E1574">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b/>
          <w:bCs/>
          <w:color w:val="auto"/>
          <w:szCs w:val="21"/>
        </w:rPr>
      </w:pPr>
      <w:r>
        <w:rPr>
          <w:rFonts w:hint="eastAsia" w:ascii="宋体" w:hAnsi="宋体" w:eastAsia="宋体" w:cs="宋体"/>
          <w:b w:val="0"/>
          <w:bCs/>
          <w:i w:val="0"/>
          <w:color w:val="auto"/>
          <w:kern w:val="2"/>
          <w:sz w:val="21"/>
          <w:szCs w:val="21"/>
          <w:lang w:val="en-US" w:eastAsia="zh-CN" w:bidi="ar-SA"/>
        </w:rPr>
        <w:t>1.8.1.</w:t>
      </w:r>
      <w:r>
        <w:rPr>
          <w:rFonts w:hint="eastAsia" w:ascii="宋体" w:hAnsi="宋体" w:cs="宋体"/>
          <w:color w:val="auto"/>
          <w:szCs w:val="21"/>
          <w:lang w:val="en-GB"/>
        </w:rPr>
        <w:t>供应商必须保证，采购人在中华人民共和国境内使用报价货物、资料、技术、服务或其任何一部分时，享有不受限制的无偿使用权，不会产生因第三方提出侵犯其专利权、商标权或其它知识产权而引起的法律或经济纠纷。如供应商不拥有相应的知识产权，则应由供应商负责获得并提供给采购人使用，其报价中必须包括合法获取该知识产权的一切相关费用，如供应商没有单独列出的，视为已包含在相应报价中</w:t>
      </w:r>
      <w:r>
        <w:rPr>
          <w:rFonts w:hint="eastAsia" w:ascii="宋体" w:hAnsi="宋体" w:cs="宋体"/>
          <w:color w:val="auto"/>
          <w:szCs w:val="21"/>
        </w:rPr>
        <w:t>。一旦使用供应商提供的产品或服务，采购人不再</w:t>
      </w:r>
      <w:r>
        <w:rPr>
          <w:rFonts w:hint="eastAsia" w:ascii="宋体" w:hAnsi="宋体" w:cs="宋体"/>
          <w:color w:val="auto"/>
          <w:szCs w:val="21"/>
          <w:lang w:val="en-GB"/>
        </w:rPr>
        <w:t>承担第三方提出侵犯其专利权、商标权或其它知识产权而引起的法律或经济纠纷。</w:t>
      </w:r>
    </w:p>
    <w:p w14:paraId="45483614">
      <w:pPr>
        <w:pageBreakBefore w:val="0"/>
        <w:numPr>
          <w:ilvl w:val="1"/>
          <w:numId w:val="0"/>
        </w:numPr>
        <w:kinsoku/>
        <w:overflowPunct/>
        <w:autoSpaceDN/>
        <w:bidi w:val="0"/>
        <w:adjustRightInd/>
        <w:spacing w:line="500" w:lineRule="exact"/>
        <w:ind w:left="567" w:leftChars="0" w:hanging="567" w:firstLineChars="0"/>
        <w:textAlignment w:val="auto"/>
        <w:rPr>
          <w:rFonts w:ascii="宋体" w:hAnsi="宋体" w:cs="宋体"/>
          <w:b/>
          <w:bCs/>
          <w:color w:val="auto"/>
          <w:szCs w:val="21"/>
        </w:rPr>
      </w:pPr>
      <w:r>
        <w:rPr>
          <w:rFonts w:hint="eastAsia" w:ascii="宋体" w:hAnsi="宋体" w:eastAsia="宋体" w:cs="宋体"/>
          <w:b/>
          <w:bCs/>
          <w:i w:val="0"/>
          <w:color w:val="auto"/>
          <w:kern w:val="2"/>
          <w:sz w:val="21"/>
          <w:szCs w:val="21"/>
          <w:lang w:val="en-US" w:eastAsia="zh-CN" w:bidi="ar-SA"/>
        </w:rPr>
        <w:t>1.9.</w:t>
      </w:r>
      <w:r>
        <w:rPr>
          <w:rFonts w:hint="eastAsia" w:ascii="宋体" w:hAnsi="宋体" w:cs="宋体"/>
          <w:b/>
          <w:bCs/>
          <w:color w:val="auto"/>
          <w:szCs w:val="21"/>
        </w:rPr>
        <w:t xml:space="preserve">  关联企业</w:t>
      </w:r>
    </w:p>
    <w:p w14:paraId="2B551437">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bCs/>
          <w:color w:val="auto"/>
          <w:szCs w:val="21"/>
        </w:rPr>
      </w:pPr>
      <w:r>
        <w:rPr>
          <w:rFonts w:hint="eastAsia" w:ascii="宋体" w:hAnsi="宋体" w:eastAsia="宋体" w:cs="宋体"/>
          <w:b w:val="0"/>
          <w:bCs/>
          <w:i w:val="0"/>
          <w:color w:val="auto"/>
          <w:kern w:val="2"/>
          <w:sz w:val="21"/>
          <w:szCs w:val="21"/>
          <w:lang w:val="en-US" w:eastAsia="zh-CN" w:bidi="ar-SA"/>
        </w:rPr>
        <w:t>1.9.1.</w:t>
      </w:r>
      <w:r>
        <w:rPr>
          <w:rFonts w:hint="eastAsia" w:ascii="宋体" w:hAnsi="宋体" w:cs="宋体"/>
          <w:bCs/>
          <w:color w:val="auto"/>
          <w:szCs w:val="21"/>
        </w:rPr>
        <w:t>除联合体外，法定代表人或单位负责人为同一个人或者存在直接控股、管理关系的不同供应商，不得同时参加同一项目或同一包组（子项、标段等）的报价。如同时参加，则评审时将同时被拒绝。</w:t>
      </w:r>
    </w:p>
    <w:p w14:paraId="6A7B5DAA">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bCs/>
          <w:color w:val="auto"/>
          <w:szCs w:val="21"/>
        </w:rPr>
      </w:pPr>
      <w:r>
        <w:rPr>
          <w:rFonts w:hint="eastAsia" w:ascii="宋体" w:hAnsi="宋体" w:eastAsia="宋体" w:cs="宋体"/>
          <w:b w:val="0"/>
          <w:bCs/>
          <w:i w:val="0"/>
          <w:color w:val="auto"/>
          <w:kern w:val="2"/>
          <w:sz w:val="21"/>
          <w:szCs w:val="21"/>
          <w:lang w:val="en-US" w:eastAsia="zh-CN" w:bidi="ar-SA"/>
        </w:rPr>
        <w:t>1.9.2.</w:t>
      </w:r>
      <w:r>
        <w:rPr>
          <w:rFonts w:hint="eastAsia" w:ascii="宋体" w:hAnsi="宋体" w:cs="宋体"/>
          <w:bCs/>
          <w:color w:val="auto"/>
          <w:szCs w:val="21"/>
        </w:rPr>
        <w:t>同一供应商授权不同的人员参与同一项目或同一包组（子项、标段等）的报价，则评审时将同时被拒绝。</w:t>
      </w:r>
    </w:p>
    <w:p w14:paraId="7FF07CC3">
      <w:pPr>
        <w:pageBreakBefore w:val="0"/>
        <w:numPr>
          <w:ilvl w:val="1"/>
          <w:numId w:val="0"/>
        </w:numPr>
        <w:kinsoku/>
        <w:overflowPunct/>
        <w:autoSpaceDN/>
        <w:bidi w:val="0"/>
        <w:adjustRightInd/>
        <w:spacing w:line="500" w:lineRule="exact"/>
        <w:ind w:left="567" w:leftChars="0" w:hanging="567" w:firstLineChars="0"/>
        <w:textAlignment w:val="auto"/>
        <w:rPr>
          <w:rFonts w:ascii="宋体" w:hAnsi="宋体" w:cs="宋体"/>
          <w:b/>
          <w:bCs/>
          <w:color w:val="auto"/>
          <w:szCs w:val="21"/>
        </w:rPr>
      </w:pPr>
      <w:r>
        <w:rPr>
          <w:rFonts w:hint="eastAsia" w:ascii="宋体" w:hAnsi="宋体" w:eastAsia="宋体" w:cs="宋体"/>
          <w:b/>
          <w:bCs/>
          <w:i w:val="0"/>
          <w:color w:val="auto"/>
          <w:kern w:val="2"/>
          <w:sz w:val="21"/>
          <w:szCs w:val="21"/>
          <w:lang w:val="en-US" w:eastAsia="zh-CN" w:bidi="ar-SA"/>
        </w:rPr>
        <w:t>1.10.</w:t>
      </w:r>
      <w:r>
        <w:rPr>
          <w:rFonts w:hint="eastAsia" w:ascii="宋体" w:hAnsi="宋体" w:cs="宋体"/>
          <w:b/>
          <w:bCs/>
          <w:color w:val="auto"/>
          <w:szCs w:val="21"/>
        </w:rPr>
        <w:t>联合体投标（如适用）</w:t>
      </w:r>
    </w:p>
    <w:p w14:paraId="5FA60B08">
      <w:pPr>
        <w:pageBreakBefore w:val="0"/>
        <w:tabs>
          <w:tab w:val="left" w:pos="1674"/>
        </w:tabs>
        <w:kinsoku/>
        <w:overflowPunct/>
        <w:autoSpaceDN/>
        <w:bidi w:val="0"/>
        <w:adjustRightInd/>
        <w:spacing w:line="500" w:lineRule="exact"/>
        <w:ind w:left="735" w:hanging="735" w:hangingChars="350"/>
        <w:textAlignment w:val="auto"/>
        <w:rPr>
          <w:rFonts w:ascii="宋体" w:hAnsi="宋体" w:cs="宋体"/>
          <w:bCs/>
          <w:color w:val="auto"/>
          <w:szCs w:val="21"/>
        </w:rPr>
      </w:pPr>
      <w:r>
        <w:rPr>
          <w:rFonts w:hint="eastAsia" w:ascii="宋体" w:hAnsi="宋体" w:cs="宋体"/>
          <w:bCs/>
          <w:color w:val="auto"/>
          <w:szCs w:val="21"/>
        </w:rPr>
        <w:t>对接受联合体投标的项目：</w:t>
      </w:r>
    </w:p>
    <w:p w14:paraId="358A6F2F">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bCs/>
          <w:color w:val="auto"/>
          <w:szCs w:val="21"/>
        </w:rPr>
      </w:pPr>
      <w:r>
        <w:rPr>
          <w:rFonts w:hint="eastAsia" w:ascii="宋体" w:hAnsi="宋体" w:eastAsia="宋体" w:cs="宋体"/>
          <w:b w:val="0"/>
          <w:bCs/>
          <w:i w:val="0"/>
          <w:color w:val="auto"/>
          <w:kern w:val="2"/>
          <w:sz w:val="21"/>
          <w:szCs w:val="21"/>
          <w:lang w:val="en-US" w:eastAsia="zh-CN" w:bidi="ar-SA"/>
        </w:rPr>
        <w:t>1.10.1.</w:t>
      </w:r>
      <w:r>
        <w:rPr>
          <w:rFonts w:hint="eastAsia" w:ascii="宋体" w:hAnsi="宋体" w:cs="宋体"/>
          <w:bCs/>
          <w:color w:val="auto"/>
          <w:szCs w:val="21"/>
        </w:rPr>
        <w:t>两个以上供应商可以组成一个投标联合体，以一个供应商的身份投标。</w:t>
      </w:r>
    </w:p>
    <w:p w14:paraId="276A85E4">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bCs/>
          <w:color w:val="auto"/>
          <w:szCs w:val="21"/>
        </w:rPr>
      </w:pPr>
      <w:r>
        <w:rPr>
          <w:rFonts w:hint="eastAsia" w:ascii="宋体" w:hAnsi="宋体" w:eastAsia="宋体" w:cs="宋体"/>
          <w:b w:val="0"/>
          <w:bCs/>
          <w:i w:val="0"/>
          <w:color w:val="auto"/>
          <w:kern w:val="2"/>
          <w:sz w:val="21"/>
          <w:szCs w:val="21"/>
          <w:lang w:val="en-US" w:eastAsia="zh-CN" w:bidi="ar-SA"/>
        </w:rPr>
        <w:t>1.10.2.</w:t>
      </w:r>
      <w:r>
        <w:rPr>
          <w:rFonts w:hint="eastAsia" w:ascii="宋体" w:hAnsi="宋体" w:cs="宋体"/>
          <w:bCs/>
          <w:color w:val="auto"/>
          <w:szCs w:val="21"/>
        </w:rPr>
        <w:t>联合体各方均应当符合</w:t>
      </w:r>
      <w:r>
        <w:rPr>
          <w:rFonts w:hint="eastAsia" w:ascii="宋体" w:hAnsi="宋体" w:cs="宋体"/>
          <w:bCs/>
          <w:color w:val="auto"/>
          <w:szCs w:val="21"/>
          <w:lang w:val="en-US" w:eastAsia="zh-CN"/>
        </w:rPr>
        <w:t>相关法律</w:t>
      </w:r>
      <w:r>
        <w:rPr>
          <w:rFonts w:hint="eastAsia" w:ascii="宋体" w:hAnsi="宋体" w:cs="宋体"/>
          <w:bCs/>
          <w:color w:val="auto"/>
          <w:szCs w:val="21"/>
        </w:rPr>
        <w:t>条件，根据采购项目的特殊要求规定供应商特定条件的，联合体各方或按本项目要求各方中至少应当有一方符合采购人规定的特定条件。</w:t>
      </w:r>
    </w:p>
    <w:p w14:paraId="01F078CC">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bCs/>
          <w:color w:val="auto"/>
          <w:szCs w:val="21"/>
        </w:rPr>
      </w:pPr>
      <w:r>
        <w:rPr>
          <w:rFonts w:hint="eastAsia" w:ascii="宋体" w:hAnsi="宋体" w:eastAsia="宋体" w:cs="宋体"/>
          <w:b w:val="0"/>
          <w:bCs/>
          <w:i w:val="0"/>
          <w:color w:val="auto"/>
          <w:kern w:val="2"/>
          <w:sz w:val="21"/>
          <w:szCs w:val="21"/>
          <w:lang w:val="en-US" w:eastAsia="zh-CN" w:bidi="ar-SA"/>
        </w:rPr>
        <w:t>1.10.3.</w:t>
      </w:r>
      <w:r>
        <w:rPr>
          <w:rFonts w:hint="eastAsia" w:ascii="宋体" w:hAnsi="宋体" w:cs="宋体"/>
          <w:bCs/>
          <w:color w:val="auto"/>
          <w:szCs w:val="21"/>
        </w:rPr>
        <w:t>联合体各方之间应当签订共同投标协议并在响应文件内提交，明确约定联合体各方承担的工作和相应的责任。联合体各方签订共同投标协议后，不得再以自己名义单独在同一项目中投标，也不得组成新的联合体参加同一项目投标。</w:t>
      </w:r>
    </w:p>
    <w:p w14:paraId="579CBBB7">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bCs/>
          <w:color w:val="auto"/>
          <w:szCs w:val="21"/>
        </w:rPr>
      </w:pPr>
      <w:r>
        <w:rPr>
          <w:rFonts w:hint="eastAsia" w:ascii="宋体" w:hAnsi="宋体" w:eastAsia="宋体" w:cs="宋体"/>
          <w:b w:val="0"/>
          <w:bCs/>
          <w:i w:val="0"/>
          <w:color w:val="auto"/>
          <w:kern w:val="2"/>
          <w:sz w:val="21"/>
          <w:szCs w:val="21"/>
          <w:lang w:val="en-US" w:eastAsia="zh-CN" w:bidi="ar-SA"/>
        </w:rPr>
        <w:t>1.10.4.</w:t>
      </w:r>
      <w:r>
        <w:rPr>
          <w:rFonts w:hint="eastAsia" w:ascii="宋体" w:hAnsi="宋体" w:cs="宋体"/>
          <w:bCs/>
          <w:color w:val="auto"/>
          <w:szCs w:val="21"/>
        </w:rPr>
        <w:t>联合体投标的，应以主体方名义提交响应保证金，对联合体各方均具有约束力。</w:t>
      </w:r>
    </w:p>
    <w:p w14:paraId="5EC63B67">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bCs/>
          <w:color w:val="auto"/>
          <w:szCs w:val="21"/>
        </w:rPr>
      </w:pPr>
      <w:r>
        <w:rPr>
          <w:rFonts w:hint="eastAsia" w:ascii="宋体" w:hAnsi="宋体" w:eastAsia="宋体" w:cs="宋体"/>
          <w:b w:val="0"/>
          <w:bCs/>
          <w:i w:val="0"/>
          <w:color w:val="auto"/>
          <w:kern w:val="2"/>
          <w:sz w:val="21"/>
          <w:szCs w:val="21"/>
          <w:lang w:val="en-US" w:eastAsia="zh-CN" w:bidi="ar-SA"/>
        </w:rPr>
        <w:t>1.10.5.</w:t>
      </w:r>
      <w:r>
        <w:rPr>
          <w:rFonts w:hint="eastAsia" w:ascii="宋体" w:hAnsi="宋体" w:cs="宋体"/>
          <w:bCs/>
          <w:color w:val="auto"/>
          <w:szCs w:val="21"/>
        </w:rPr>
        <w:t>由同一专业的单位组成的联合体，按照同一项资质等级较低的单位确定资质等级。</w:t>
      </w:r>
    </w:p>
    <w:p w14:paraId="631EAE63">
      <w:pPr>
        <w:pStyle w:val="4"/>
        <w:pageBreakBefore w:val="0"/>
        <w:numPr>
          <w:ilvl w:val="0"/>
          <w:numId w:val="0"/>
        </w:numPr>
        <w:kinsoku/>
        <w:overflowPunct/>
        <w:autoSpaceDE/>
        <w:autoSpaceDN/>
        <w:bidi w:val="0"/>
        <w:adjustRightInd/>
        <w:snapToGrid/>
        <w:spacing w:before="260" w:line="500" w:lineRule="exact"/>
        <w:ind w:left="425" w:leftChars="0" w:hanging="425" w:firstLineChars="0"/>
        <w:textAlignment w:val="auto"/>
        <w:rPr>
          <w:rFonts w:cs="宋体"/>
          <w:color w:val="auto"/>
          <w:sz w:val="21"/>
          <w:szCs w:val="21"/>
        </w:rPr>
      </w:pPr>
      <w:r>
        <w:rPr>
          <w:rFonts w:hint="eastAsia" w:ascii="宋体" w:hAnsi="宋体" w:eastAsia="宋体" w:cs="宋体"/>
          <w:b/>
          <w:i w:val="0"/>
          <w:color w:val="auto"/>
          <w:kern w:val="2"/>
          <w:sz w:val="21"/>
          <w:szCs w:val="21"/>
          <w:lang w:val="en-US" w:eastAsia="zh-CN" w:bidi="ar-SA"/>
        </w:rPr>
        <w:t>2.</w:t>
      </w:r>
      <w:r>
        <w:rPr>
          <w:rFonts w:hint="eastAsia" w:cs="宋体"/>
          <w:color w:val="auto"/>
          <w:sz w:val="21"/>
          <w:szCs w:val="21"/>
        </w:rPr>
        <w:t>磋商文件</w:t>
      </w:r>
    </w:p>
    <w:p w14:paraId="42812A1B">
      <w:pPr>
        <w:pageBreakBefore w:val="0"/>
        <w:numPr>
          <w:ilvl w:val="1"/>
          <w:numId w:val="0"/>
        </w:numPr>
        <w:kinsoku/>
        <w:overflowPunct/>
        <w:autoSpaceDN/>
        <w:bidi w:val="0"/>
        <w:adjustRightInd/>
        <w:spacing w:line="500" w:lineRule="exact"/>
        <w:ind w:left="567" w:leftChars="0" w:hanging="567" w:firstLineChars="0"/>
        <w:textAlignment w:val="auto"/>
        <w:rPr>
          <w:rFonts w:ascii="宋体" w:hAnsi="宋体" w:cs="宋体"/>
          <w:b/>
          <w:bCs/>
          <w:color w:val="auto"/>
          <w:szCs w:val="21"/>
        </w:rPr>
      </w:pPr>
      <w:r>
        <w:rPr>
          <w:rFonts w:hint="eastAsia" w:ascii="宋体" w:hAnsi="宋体" w:eastAsia="宋体" w:cs="宋体"/>
          <w:b/>
          <w:bCs/>
          <w:i w:val="0"/>
          <w:color w:val="auto"/>
          <w:kern w:val="2"/>
          <w:sz w:val="21"/>
          <w:szCs w:val="21"/>
          <w:lang w:val="en-US" w:eastAsia="zh-CN" w:bidi="ar-SA"/>
        </w:rPr>
        <w:t>2.1.</w:t>
      </w:r>
      <w:r>
        <w:rPr>
          <w:rFonts w:hint="eastAsia" w:ascii="宋体" w:hAnsi="宋体" w:cs="宋体"/>
          <w:b/>
          <w:bCs/>
          <w:color w:val="auto"/>
          <w:szCs w:val="21"/>
        </w:rPr>
        <w:t>磋商文件的组成</w:t>
      </w:r>
    </w:p>
    <w:p w14:paraId="5AEBEE1E">
      <w:pPr>
        <w:pageBreakBefore w:val="0"/>
        <w:kinsoku/>
        <w:overflowPunct/>
        <w:autoSpaceDN/>
        <w:bidi w:val="0"/>
        <w:adjustRightInd/>
        <w:spacing w:line="500" w:lineRule="exact"/>
        <w:ind w:left="301"/>
        <w:textAlignment w:val="auto"/>
        <w:rPr>
          <w:rFonts w:ascii="宋体" w:hAnsi="宋体" w:cs="宋体"/>
          <w:color w:val="auto"/>
          <w:szCs w:val="21"/>
        </w:rPr>
      </w:pPr>
      <w:r>
        <w:rPr>
          <w:rFonts w:hint="eastAsia" w:ascii="宋体" w:hAnsi="宋体" w:cs="宋体"/>
          <w:color w:val="auto"/>
          <w:szCs w:val="21"/>
        </w:rPr>
        <w:t>（1）磋商邀请函</w:t>
      </w:r>
    </w:p>
    <w:p w14:paraId="27A76F27">
      <w:pPr>
        <w:pageBreakBefore w:val="0"/>
        <w:kinsoku/>
        <w:overflowPunct/>
        <w:autoSpaceDN/>
        <w:bidi w:val="0"/>
        <w:adjustRightInd/>
        <w:spacing w:line="500" w:lineRule="exact"/>
        <w:ind w:left="301"/>
        <w:textAlignment w:val="auto"/>
        <w:rPr>
          <w:rFonts w:ascii="宋体" w:hAnsi="宋体" w:cs="宋体"/>
          <w:color w:val="auto"/>
          <w:szCs w:val="21"/>
        </w:rPr>
      </w:pPr>
      <w:r>
        <w:rPr>
          <w:rFonts w:hint="eastAsia" w:ascii="宋体" w:hAnsi="宋体" w:cs="宋体"/>
          <w:color w:val="auto"/>
          <w:szCs w:val="21"/>
        </w:rPr>
        <w:t>（2）用户需求书</w:t>
      </w:r>
    </w:p>
    <w:p w14:paraId="11BF77BE">
      <w:pPr>
        <w:pageBreakBefore w:val="0"/>
        <w:kinsoku/>
        <w:overflowPunct/>
        <w:autoSpaceDN/>
        <w:bidi w:val="0"/>
        <w:adjustRightInd/>
        <w:spacing w:line="500" w:lineRule="exact"/>
        <w:ind w:left="301"/>
        <w:textAlignment w:val="auto"/>
        <w:rPr>
          <w:rFonts w:ascii="宋体" w:hAnsi="宋体" w:cs="宋体"/>
          <w:color w:val="auto"/>
          <w:szCs w:val="21"/>
        </w:rPr>
      </w:pPr>
      <w:r>
        <w:rPr>
          <w:rFonts w:hint="eastAsia" w:ascii="宋体" w:hAnsi="宋体" w:cs="宋体"/>
          <w:color w:val="auto"/>
          <w:szCs w:val="21"/>
        </w:rPr>
        <w:t>（3）供应商须知</w:t>
      </w:r>
    </w:p>
    <w:p w14:paraId="313AE72F">
      <w:pPr>
        <w:pageBreakBefore w:val="0"/>
        <w:kinsoku/>
        <w:overflowPunct/>
        <w:autoSpaceDN/>
        <w:bidi w:val="0"/>
        <w:adjustRightInd/>
        <w:spacing w:line="500" w:lineRule="exact"/>
        <w:ind w:left="301"/>
        <w:textAlignment w:val="auto"/>
        <w:rPr>
          <w:rFonts w:ascii="宋体" w:hAnsi="宋体" w:cs="宋体"/>
          <w:color w:val="auto"/>
          <w:szCs w:val="21"/>
        </w:rPr>
      </w:pPr>
      <w:r>
        <w:rPr>
          <w:rFonts w:hint="eastAsia" w:ascii="宋体" w:hAnsi="宋体" w:cs="宋体"/>
          <w:color w:val="auto"/>
          <w:szCs w:val="21"/>
        </w:rPr>
        <w:t>（4）</w:t>
      </w:r>
      <w:r>
        <w:rPr>
          <w:rFonts w:hint="eastAsia" w:ascii="宋体" w:hAnsi="宋体" w:cs="宋体"/>
          <w:bCs/>
          <w:color w:val="auto"/>
          <w:szCs w:val="21"/>
        </w:rPr>
        <w:t>磋商细则</w:t>
      </w:r>
    </w:p>
    <w:p w14:paraId="081B8EA5">
      <w:pPr>
        <w:pageBreakBefore w:val="0"/>
        <w:kinsoku/>
        <w:overflowPunct/>
        <w:autoSpaceDN/>
        <w:bidi w:val="0"/>
        <w:adjustRightInd/>
        <w:spacing w:line="500" w:lineRule="exact"/>
        <w:ind w:left="301"/>
        <w:textAlignment w:val="auto"/>
        <w:rPr>
          <w:rFonts w:ascii="宋体" w:hAnsi="宋体" w:cs="宋体"/>
          <w:color w:val="auto"/>
          <w:szCs w:val="21"/>
        </w:rPr>
      </w:pPr>
      <w:r>
        <w:rPr>
          <w:rFonts w:hint="eastAsia" w:ascii="宋体" w:hAnsi="宋体" w:cs="宋体"/>
          <w:color w:val="auto"/>
          <w:szCs w:val="21"/>
        </w:rPr>
        <w:t>（5）合同书格式</w:t>
      </w:r>
    </w:p>
    <w:p w14:paraId="31FDB0F8">
      <w:pPr>
        <w:pageBreakBefore w:val="0"/>
        <w:kinsoku/>
        <w:overflowPunct/>
        <w:autoSpaceDN/>
        <w:bidi w:val="0"/>
        <w:adjustRightInd/>
        <w:spacing w:line="500" w:lineRule="exact"/>
        <w:ind w:left="181" w:leftChars="86" w:firstLine="105" w:firstLineChars="50"/>
        <w:textAlignment w:val="auto"/>
        <w:rPr>
          <w:rFonts w:ascii="宋体" w:hAnsi="宋体" w:cs="宋体"/>
          <w:color w:val="auto"/>
          <w:szCs w:val="21"/>
        </w:rPr>
      </w:pPr>
      <w:r>
        <w:rPr>
          <w:rFonts w:hint="eastAsia" w:ascii="宋体" w:hAnsi="宋体" w:cs="宋体"/>
          <w:bCs/>
          <w:color w:val="auto"/>
          <w:szCs w:val="21"/>
        </w:rPr>
        <w:t>（6）</w:t>
      </w:r>
      <w:r>
        <w:rPr>
          <w:rFonts w:hint="eastAsia" w:ascii="宋体" w:hAnsi="宋体" w:cs="宋体"/>
          <w:color w:val="auto"/>
          <w:szCs w:val="21"/>
        </w:rPr>
        <w:t>响应文件格式</w:t>
      </w:r>
    </w:p>
    <w:p w14:paraId="6BDC67CD">
      <w:pPr>
        <w:pageBreakBefore w:val="0"/>
        <w:kinsoku/>
        <w:overflowPunct/>
        <w:autoSpaceDN/>
        <w:bidi w:val="0"/>
        <w:adjustRightInd/>
        <w:spacing w:line="500" w:lineRule="exact"/>
        <w:ind w:left="181" w:leftChars="86" w:firstLine="105" w:firstLineChars="50"/>
        <w:textAlignment w:val="auto"/>
        <w:rPr>
          <w:rFonts w:ascii="宋体" w:hAnsi="宋体" w:cs="宋体"/>
          <w:color w:val="auto"/>
        </w:rPr>
      </w:pPr>
      <w:r>
        <w:rPr>
          <w:rFonts w:hint="eastAsia" w:ascii="宋体" w:hAnsi="宋体" w:cs="宋体"/>
          <w:color w:val="auto"/>
          <w:szCs w:val="21"/>
        </w:rPr>
        <w:t>（7）在磋商过程中由采购人或采购代理机构发出的修正和补充文件等。</w:t>
      </w:r>
    </w:p>
    <w:p w14:paraId="09202559">
      <w:pPr>
        <w:pageBreakBefore w:val="0"/>
        <w:kinsoku/>
        <w:overflowPunct/>
        <w:autoSpaceDN/>
        <w:bidi w:val="0"/>
        <w:adjustRightInd/>
        <w:spacing w:line="500" w:lineRule="exact"/>
        <w:textAlignment w:val="auto"/>
        <w:rPr>
          <w:rFonts w:ascii="宋体" w:hAnsi="宋体" w:cs="宋体"/>
          <w:b/>
          <w:color w:val="auto"/>
          <w:szCs w:val="21"/>
        </w:rPr>
      </w:pPr>
      <w:r>
        <w:rPr>
          <w:rFonts w:hint="eastAsia" w:ascii="宋体" w:hAnsi="宋体" w:cs="宋体"/>
          <w:b/>
          <w:color w:val="auto"/>
          <w:szCs w:val="21"/>
        </w:rPr>
        <w:t>2.2.磋商文件的澄清</w:t>
      </w:r>
    </w:p>
    <w:p w14:paraId="2A255543">
      <w:pPr>
        <w:pageBreakBefore w:val="0"/>
        <w:kinsoku/>
        <w:overflowPunct/>
        <w:autoSpaceDN/>
        <w:bidi w:val="0"/>
        <w:adjustRightInd/>
        <w:spacing w:line="500" w:lineRule="exact"/>
        <w:ind w:left="735" w:hanging="735" w:hangingChars="350"/>
        <w:textAlignment w:val="auto"/>
        <w:rPr>
          <w:rFonts w:ascii="宋体" w:hAnsi="宋体" w:cs="宋体"/>
          <w:bCs/>
          <w:color w:val="auto"/>
          <w:szCs w:val="21"/>
        </w:rPr>
      </w:pPr>
      <w:bookmarkStart w:id="31" w:name="_Toc56938698"/>
      <w:bookmarkStart w:id="32" w:name="_Toc56851225"/>
      <w:bookmarkStart w:id="33" w:name="_Toc56855650"/>
      <w:bookmarkStart w:id="34" w:name="_Toc56846632"/>
      <w:bookmarkStart w:id="35" w:name="_Toc52270234"/>
      <w:bookmarkStart w:id="36" w:name="_Toc52288203"/>
      <w:bookmarkStart w:id="37" w:name="_Toc56855618"/>
      <w:r>
        <w:rPr>
          <w:rFonts w:hint="eastAsia" w:ascii="宋体" w:hAnsi="宋体" w:cs="宋体"/>
          <w:bCs/>
          <w:color w:val="auto"/>
          <w:szCs w:val="21"/>
        </w:rPr>
        <w:t>2.</w:t>
      </w:r>
      <w:bookmarkStart w:id="38" w:name="_Hlt230510879"/>
      <w:bookmarkEnd w:id="38"/>
      <w:bookmarkStart w:id="39" w:name="_Hlt230510880"/>
      <w:bookmarkEnd w:id="39"/>
      <w:bookmarkStart w:id="40" w:name="_Hlt230510881"/>
      <w:bookmarkEnd w:id="40"/>
      <w:bookmarkStart w:id="41" w:name="_Hlt230510878"/>
      <w:bookmarkEnd w:id="41"/>
      <w:r>
        <w:rPr>
          <w:rFonts w:hint="eastAsia" w:ascii="宋体" w:hAnsi="宋体" w:cs="宋体"/>
          <w:bCs/>
          <w:color w:val="auto"/>
          <w:szCs w:val="21"/>
        </w:rPr>
        <w:t>2.1．供应商如需澄清磋商文件的疑点，均应以书面形式加盖公章（电传、传真、电报无效）向采购代理机构提出澄清要求，</w:t>
      </w:r>
      <w:r>
        <w:rPr>
          <w:rFonts w:hint="eastAsia" w:ascii="宋体" w:hAnsi="宋体" w:cs="宋体"/>
          <w:color w:val="auto"/>
          <w:szCs w:val="21"/>
        </w:rPr>
        <w:t>通知应确保采购代理机构在投标截止日期4天前收到</w:t>
      </w:r>
      <w:r>
        <w:rPr>
          <w:rFonts w:hint="eastAsia" w:ascii="宋体" w:hAnsi="宋体" w:cs="宋体"/>
          <w:bCs/>
          <w:color w:val="auto"/>
          <w:szCs w:val="21"/>
        </w:rPr>
        <w:t>。采购代理机构将用信函、传真等形式做出答复。</w:t>
      </w:r>
    </w:p>
    <w:p w14:paraId="6F67F84E">
      <w:pPr>
        <w:pageBreakBefore w:val="0"/>
        <w:kinsoku/>
        <w:overflowPunct/>
        <w:autoSpaceDN/>
        <w:bidi w:val="0"/>
        <w:adjustRightInd/>
        <w:spacing w:line="500" w:lineRule="exact"/>
        <w:textAlignment w:val="auto"/>
        <w:rPr>
          <w:rFonts w:ascii="宋体" w:hAnsi="宋体" w:cs="宋体"/>
          <w:b/>
          <w:color w:val="auto"/>
          <w:szCs w:val="21"/>
        </w:rPr>
      </w:pPr>
      <w:r>
        <w:rPr>
          <w:rFonts w:hint="eastAsia" w:ascii="宋体" w:hAnsi="宋体" w:cs="宋体"/>
          <w:b/>
          <w:color w:val="auto"/>
          <w:szCs w:val="21"/>
        </w:rPr>
        <w:t>2.3.磋商文件的补充和修改</w:t>
      </w:r>
    </w:p>
    <w:p w14:paraId="66193D88">
      <w:pPr>
        <w:pageBreakBefore w:val="0"/>
        <w:tabs>
          <w:tab w:val="left" w:pos="735"/>
          <w:tab w:val="left" w:pos="1050"/>
          <w:tab w:val="left" w:pos="1155"/>
        </w:tabs>
        <w:kinsoku/>
        <w:overflowPunct/>
        <w:autoSpaceDN/>
        <w:bidi w:val="0"/>
        <w:adjustRightInd/>
        <w:spacing w:line="500" w:lineRule="exact"/>
        <w:ind w:left="630" w:hanging="630" w:hangingChars="300"/>
        <w:textAlignment w:val="auto"/>
        <w:rPr>
          <w:rFonts w:ascii="宋体" w:hAnsi="宋体" w:cs="宋体"/>
          <w:bCs/>
          <w:color w:val="auto"/>
          <w:szCs w:val="21"/>
        </w:rPr>
      </w:pPr>
      <w:r>
        <w:rPr>
          <w:rFonts w:hint="eastAsia" w:ascii="宋体" w:hAnsi="宋体" w:cs="宋体"/>
          <w:bCs/>
          <w:color w:val="auto"/>
          <w:szCs w:val="21"/>
        </w:rPr>
        <w:t>2.3.1.采购代理机构可以用书面补充通知的方式对磋商文件进行补充和修改。对磋商文件的补充和修正，将</w:t>
      </w:r>
      <w:r>
        <w:rPr>
          <w:rFonts w:hint="eastAsia" w:ascii="宋体" w:hAnsi="宋体" w:cs="宋体"/>
          <w:color w:val="auto"/>
          <w:szCs w:val="21"/>
        </w:rPr>
        <w:t>会在磋商邀请所述网站上公布，并</w:t>
      </w:r>
      <w:r>
        <w:rPr>
          <w:rFonts w:hint="eastAsia" w:ascii="宋体" w:hAnsi="宋体" w:cs="宋体"/>
          <w:bCs/>
          <w:color w:val="auto"/>
          <w:szCs w:val="21"/>
        </w:rPr>
        <w:t>用信函、传真等形式通知所有供应商。</w:t>
      </w:r>
    </w:p>
    <w:p w14:paraId="638EA609">
      <w:pPr>
        <w:pageBreakBefore w:val="0"/>
        <w:tabs>
          <w:tab w:val="left" w:pos="720"/>
          <w:tab w:val="left" w:pos="1050"/>
          <w:tab w:val="left" w:pos="1155"/>
        </w:tabs>
        <w:kinsoku/>
        <w:overflowPunct/>
        <w:autoSpaceDN/>
        <w:bidi w:val="0"/>
        <w:adjustRightInd/>
        <w:spacing w:line="500" w:lineRule="exact"/>
        <w:ind w:left="630" w:hanging="630" w:hangingChars="300"/>
        <w:textAlignment w:val="auto"/>
        <w:rPr>
          <w:rFonts w:ascii="宋体" w:hAnsi="宋体" w:cs="宋体"/>
          <w:bCs/>
          <w:color w:val="auto"/>
          <w:szCs w:val="21"/>
        </w:rPr>
      </w:pPr>
      <w:r>
        <w:rPr>
          <w:rFonts w:hint="eastAsia" w:ascii="宋体" w:hAnsi="宋体" w:cs="宋体"/>
          <w:bCs/>
          <w:color w:val="auto"/>
          <w:szCs w:val="21"/>
        </w:rPr>
        <w:t>2.3.2.所颁发的补充通知将于投标截止期前发往所有供应商。该补充通知应作为磋商文件的一部分。供应商在收到通知后应在响应文件中予以确认。</w:t>
      </w:r>
    </w:p>
    <w:p w14:paraId="43EE26FD">
      <w:pPr>
        <w:pageBreakBefore w:val="0"/>
        <w:tabs>
          <w:tab w:val="left" w:pos="720"/>
          <w:tab w:val="left" w:pos="1050"/>
          <w:tab w:val="left" w:pos="1155"/>
        </w:tabs>
        <w:kinsoku/>
        <w:overflowPunct/>
        <w:autoSpaceDN/>
        <w:bidi w:val="0"/>
        <w:adjustRightInd/>
        <w:spacing w:line="500" w:lineRule="exact"/>
        <w:ind w:left="630" w:hanging="630" w:hangingChars="300"/>
        <w:textAlignment w:val="auto"/>
        <w:rPr>
          <w:rFonts w:ascii="宋体" w:hAnsi="宋体" w:cs="宋体"/>
          <w:bCs/>
          <w:color w:val="auto"/>
          <w:szCs w:val="21"/>
        </w:rPr>
      </w:pPr>
      <w:r>
        <w:rPr>
          <w:rFonts w:hint="eastAsia" w:ascii="宋体" w:hAnsi="宋体" w:cs="宋体"/>
          <w:bCs/>
          <w:color w:val="auto"/>
          <w:szCs w:val="21"/>
        </w:rPr>
        <w:t>2.3.3.考虑到补充通知的影响，采购代理机构可决定延迟磋商时间。</w:t>
      </w:r>
    </w:p>
    <w:bookmarkEnd w:id="31"/>
    <w:bookmarkEnd w:id="32"/>
    <w:bookmarkEnd w:id="33"/>
    <w:bookmarkEnd w:id="34"/>
    <w:bookmarkEnd w:id="35"/>
    <w:bookmarkEnd w:id="36"/>
    <w:bookmarkEnd w:id="37"/>
    <w:p w14:paraId="05962BCC">
      <w:pPr>
        <w:pStyle w:val="4"/>
        <w:pageBreakBefore w:val="0"/>
        <w:numPr>
          <w:ilvl w:val="0"/>
          <w:numId w:val="0"/>
        </w:numPr>
        <w:kinsoku/>
        <w:overflowPunct/>
        <w:autoSpaceDE/>
        <w:autoSpaceDN/>
        <w:bidi w:val="0"/>
        <w:adjustRightInd/>
        <w:snapToGrid/>
        <w:spacing w:before="260" w:line="500" w:lineRule="exact"/>
        <w:ind w:left="425" w:leftChars="0" w:hanging="425" w:firstLineChars="0"/>
        <w:textAlignment w:val="auto"/>
        <w:rPr>
          <w:rFonts w:cs="宋体"/>
          <w:color w:val="auto"/>
          <w:sz w:val="21"/>
          <w:szCs w:val="21"/>
        </w:rPr>
      </w:pPr>
      <w:r>
        <w:rPr>
          <w:rFonts w:hint="eastAsia" w:ascii="宋体" w:hAnsi="宋体" w:eastAsia="宋体" w:cs="宋体"/>
          <w:b/>
          <w:i w:val="0"/>
          <w:color w:val="auto"/>
          <w:kern w:val="2"/>
          <w:sz w:val="21"/>
          <w:szCs w:val="21"/>
          <w:lang w:val="en-US" w:eastAsia="zh-CN" w:bidi="ar-SA"/>
        </w:rPr>
        <w:t>3.</w:t>
      </w:r>
      <w:r>
        <w:rPr>
          <w:rFonts w:hint="eastAsia" w:cs="宋体"/>
          <w:color w:val="auto"/>
          <w:sz w:val="21"/>
          <w:szCs w:val="21"/>
        </w:rPr>
        <w:t>响应文件</w:t>
      </w:r>
    </w:p>
    <w:p w14:paraId="28E851B1">
      <w:pPr>
        <w:pageBreakBefore w:val="0"/>
        <w:numPr>
          <w:ilvl w:val="1"/>
          <w:numId w:val="0"/>
        </w:numPr>
        <w:kinsoku/>
        <w:overflowPunct/>
        <w:autoSpaceDN/>
        <w:bidi w:val="0"/>
        <w:adjustRightInd/>
        <w:spacing w:line="500" w:lineRule="exact"/>
        <w:ind w:left="567" w:leftChars="0" w:hanging="567" w:firstLineChars="0"/>
        <w:textAlignment w:val="auto"/>
        <w:rPr>
          <w:rFonts w:ascii="宋体" w:hAnsi="宋体" w:cs="宋体"/>
          <w:b/>
          <w:bCs/>
          <w:color w:val="auto"/>
          <w:szCs w:val="21"/>
        </w:rPr>
      </w:pPr>
      <w:r>
        <w:rPr>
          <w:rFonts w:hint="eastAsia" w:ascii="宋体" w:hAnsi="宋体" w:eastAsia="宋体" w:cs="宋体"/>
          <w:b/>
          <w:bCs/>
          <w:i w:val="0"/>
          <w:color w:val="auto"/>
          <w:kern w:val="2"/>
          <w:sz w:val="21"/>
          <w:szCs w:val="21"/>
          <w:lang w:val="en-US" w:eastAsia="zh-CN" w:bidi="ar-SA"/>
        </w:rPr>
        <w:t>3.1.</w:t>
      </w:r>
      <w:r>
        <w:rPr>
          <w:rFonts w:hint="eastAsia" w:ascii="宋体" w:hAnsi="宋体" w:cs="宋体"/>
          <w:b/>
          <w:bCs/>
          <w:color w:val="auto"/>
          <w:szCs w:val="21"/>
        </w:rPr>
        <w:t>响应文件的编写</w:t>
      </w:r>
    </w:p>
    <w:p w14:paraId="0F4368AD">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color w:val="auto"/>
          <w:szCs w:val="21"/>
        </w:rPr>
      </w:pPr>
      <w:r>
        <w:rPr>
          <w:rFonts w:hint="eastAsia" w:ascii="宋体" w:hAnsi="宋体" w:eastAsia="宋体" w:cs="宋体"/>
          <w:b w:val="0"/>
          <w:i w:val="0"/>
          <w:color w:val="auto"/>
          <w:kern w:val="2"/>
          <w:sz w:val="21"/>
          <w:szCs w:val="21"/>
          <w:lang w:val="en-US" w:eastAsia="zh-CN" w:bidi="ar-SA"/>
        </w:rPr>
        <w:t>3.1.1.</w:t>
      </w:r>
      <w:r>
        <w:rPr>
          <w:rFonts w:hint="eastAsia" w:ascii="宋体" w:hAnsi="宋体" w:cs="宋体"/>
          <w:color w:val="auto"/>
          <w:szCs w:val="21"/>
        </w:rPr>
        <w:t>供应商应仔细阅读磋商文件的所有内容，按磋商文件的要求制作并递交响应文件，并保证所提供的全部资料的真实性、准确性，以确保其对磋商文件做出实质性响应；否则，将拒绝其投标。供应商若提供不真实的材料，无论其材料是否重要，都将有可能直接导致投标无效，并承担由此产生的法律责任。</w:t>
      </w:r>
    </w:p>
    <w:p w14:paraId="43246BC7">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color w:val="auto"/>
          <w:szCs w:val="21"/>
        </w:rPr>
      </w:pPr>
      <w:r>
        <w:rPr>
          <w:rFonts w:hint="eastAsia" w:ascii="宋体" w:hAnsi="宋体" w:eastAsia="宋体" w:cs="宋体"/>
          <w:b w:val="0"/>
          <w:i w:val="0"/>
          <w:color w:val="auto"/>
          <w:kern w:val="2"/>
          <w:sz w:val="21"/>
          <w:szCs w:val="21"/>
          <w:lang w:val="en-US" w:eastAsia="zh-CN" w:bidi="ar-SA"/>
        </w:rPr>
        <w:t>3.1.2.</w:t>
      </w:r>
      <w:r>
        <w:rPr>
          <w:rFonts w:hint="eastAsia" w:ascii="宋体" w:hAnsi="宋体" w:cs="宋体"/>
          <w:color w:val="auto"/>
          <w:szCs w:val="21"/>
        </w:rPr>
        <w:t>语言和计量单位：</w:t>
      </w:r>
      <w:r>
        <w:rPr>
          <w:rFonts w:hint="eastAsia" w:ascii="宋体" w:hAnsi="宋体" w:cs="宋体"/>
          <w:bCs/>
          <w:color w:val="auto"/>
          <w:szCs w:val="21"/>
        </w:rPr>
        <w:t>响应文件和来往函件应用简体中文书写，供应商提供的支持文件、技术资料和印刷的文献可以用其他语言，但相应内容应附有中文翻译文本（经公证处公证），对不同文字文本响应文件的解释发生异议的，以中文文本为准。计量单位应使用国际公制单位</w:t>
      </w:r>
      <w:r>
        <w:rPr>
          <w:rFonts w:hint="eastAsia" w:ascii="宋体" w:hAnsi="宋体" w:cs="宋体"/>
          <w:color w:val="auto"/>
          <w:szCs w:val="21"/>
        </w:rPr>
        <w:t>。</w:t>
      </w:r>
    </w:p>
    <w:p w14:paraId="688FD243">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color w:val="auto"/>
          <w:szCs w:val="21"/>
          <w:u w:val="single"/>
        </w:rPr>
      </w:pPr>
      <w:r>
        <w:rPr>
          <w:rFonts w:hint="eastAsia" w:ascii="宋体" w:hAnsi="宋体" w:eastAsia="宋体" w:cs="宋体"/>
          <w:b w:val="0"/>
          <w:i w:val="0"/>
          <w:color w:val="auto"/>
          <w:kern w:val="2"/>
          <w:sz w:val="21"/>
          <w:szCs w:val="21"/>
          <w:lang w:val="en-US" w:eastAsia="zh-CN" w:bidi="ar-SA"/>
        </w:rPr>
        <w:t>3.1.3.</w:t>
      </w:r>
      <w:r>
        <w:rPr>
          <w:rFonts w:hint="eastAsia" w:ascii="宋体" w:hAnsi="宋体" w:cs="宋体"/>
          <w:color w:val="auto"/>
          <w:szCs w:val="21"/>
        </w:rPr>
        <w:t>供应商应用人民币报价。</w:t>
      </w:r>
      <w:r>
        <w:rPr>
          <w:rFonts w:hint="eastAsia" w:ascii="宋体" w:hAnsi="宋体" w:cs="宋体"/>
          <w:bCs/>
          <w:color w:val="auto"/>
          <w:szCs w:val="21"/>
        </w:rPr>
        <w:t>响应文件的大写金额和小写金额不一致的，以大写金额为准；总价金额与按单价汇总金额不一致的，以单价金额计算结果为准；单价金额小数点有明显错位的，应以总价为准，并修改单价。</w:t>
      </w:r>
    </w:p>
    <w:p w14:paraId="5D679FF1">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color w:val="auto"/>
          <w:szCs w:val="21"/>
        </w:rPr>
      </w:pPr>
      <w:r>
        <w:rPr>
          <w:rFonts w:hint="eastAsia" w:ascii="宋体" w:hAnsi="宋体" w:eastAsia="宋体" w:cs="宋体"/>
          <w:b w:val="0"/>
          <w:i w:val="0"/>
          <w:color w:val="auto"/>
          <w:kern w:val="2"/>
          <w:sz w:val="21"/>
          <w:szCs w:val="21"/>
          <w:lang w:val="en-US" w:eastAsia="zh-CN" w:bidi="ar-SA"/>
        </w:rPr>
        <w:t>3.1.4.</w:t>
      </w:r>
      <w:r>
        <w:rPr>
          <w:rFonts w:hint="eastAsia" w:ascii="宋体" w:hAnsi="宋体" w:cs="宋体"/>
          <w:color w:val="auto"/>
          <w:szCs w:val="21"/>
        </w:rPr>
        <w:t>供应商在编写响应文件时，应填写磋商文件要求的内容及其附件，并根据实际情况补充评审所需资料，响应文件</w:t>
      </w:r>
      <w:r>
        <w:rPr>
          <w:rFonts w:hint="eastAsia" w:ascii="宋体" w:hAnsi="宋体" w:cs="宋体"/>
          <w:color w:val="auto"/>
          <w:szCs w:val="21"/>
          <w:lang w:eastAsia="zh-TW"/>
        </w:rPr>
        <w:t>只填写和提供了</w:t>
      </w:r>
      <w:r>
        <w:rPr>
          <w:rFonts w:hint="eastAsia" w:ascii="宋体" w:hAnsi="宋体" w:cs="宋体"/>
          <w:color w:val="auto"/>
          <w:szCs w:val="21"/>
        </w:rPr>
        <w:t>磋商</w:t>
      </w:r>
      <w:r>
        <w:rPr>
          <w:rFonts w:hint="eastAsia" w:ascii="宋体" w:hAnsi="宋体" w:cs="宋体"/>
          <w:color w:val="auto"/>
          <w:szCs w:val="21"/>
          <w:lang w:eastAsia="zh-TW"/>
        </w:rPr>
        <w:t>文件要求的部分内容和附件，或没有提供</w:t>
      </w:r>
      <w:r>
        <w:rPr>
          <w:rFonts w:hint="eastAsia" w:ascii="宋体" w:hAnsi="宋体" w:cs="宋体"/>
          <w:color w:val="auto"/>
          <w:szCs w:val="21"/>
        </w:rPr>
        <w:t>磋商</w:t>
      </w:r>
      <w:r>
        <w:rPr>
          <w:rFonts w:hint="eastAsia" w:ascii="宋体" w:hAnsi="宋体" w:cs="宋体"/>
          <w:color w:val="auto"/>
          <w:szCs w:val="21"/>
          <w:lang w:eastAsia="zh-TW"/>
        </w:rPr>
        <w:t>文件中所要求的全部资料及数据，</w:t>
      </w:r>
      <w:r>
        <w:rPr>
          <w:rFonts w:hint="eastAsia" w:ascii="宋体" w:hAnsi="宋体" w:cs="宋体"/>
          <w:color w:val="auto"/>
          <w:szCs w:val="21"/>
        </w:rPr>
        <w:t>或没有按实际情况提供投标所需资料的，</w:t>
      </w:r>
      <w:r>
        <w:rPr>
          <w:rFonts w:hint="eastAsia" w:ascii="宋体" w:hAnsi="宋体" w:cs="宋体"/>
          <w:color w:val="auto"/>
          <w:szCs w:val="21"/>
          <w:lang w:eastAsia="zh-TW"/>
        </w:rPr>
        <w:t>其可能导致的结果和责任由</w:t>
      </w:r>
      <w:r>
        <w:rPr>
          <w:rFonts w:hint="eastAsia" w:ascii="宋体" w:hAnsi="宋体" w:cs="宋体"/>
          <w:color w:val="auto"/>
          <w:szCs w:val="21"/>
        </w:rPr>
        <w:t>供应商</w:t>
      </w:r>
      <w:r>
        <w:rPr>
          <w:rFonts w:hint="eastAsia" w:ascii="宋体" w:hAnsi="宋体" w:cs="宋体"/>
          <w:color w:val="auto"/>
          <w:szCs w:val="21"/>
          <w:lang w:eastAsia="zh-TW"/>
        </w:rPr>
        <w:t>自行承担。</w:t>
      </w:r>
    </w:p>
    <w:p w14:paraId="05E2B7A6">
      <w:pPr>
        <w:pageBreakBefore w:val="0"/>
        <w:numPr>
          <w:ilvl w:val="1"/>
          <w:numId w:val="0"/>
        </w:numPr>
        <w:kinsoku/>
        <w:overflowPunct/>
        <w:autoSpaceDN/>
        <w:bidi w:val="0"/>
        <w:adjustRightInd/>
        <w:spacing w:line="500" w:lineRule="exact"/>
        <w:ind w:left="567" w:leftChars="0" w:hanging="567" w:firstLineChars="0"/>
        <w:textAlignment w:val="auto"/>
        <w:rPr>
          <w:rFonts w:ascii="宋体" w:hAnsi="宋体" w:cs="宋体"/>
          <w:b/>
          <w:bCs/>
          <w:color w:val="auto"/>
          <w:szCs w:val="21"/>
        </w:rPr>
      </w:pPr>
      <w:r>
        <w:rPr>
          <w:rFonts w:hint="eastAsia" w:ascii="宋体" w:hAnsi="宋体" w:eastAsia="宋体" w:cs="宋体"/>
          <w:b/>
          <w:bCs/>
          <w:i w:val="0"/>
          <w:color w:val="auto"/>
          <w:kern w:val="2"/>
          <w:sz w:val="21"/>
          <w:szCs w:val="21"/>
          <w:lang w:val="en-US" w:eastAsia="zh-CN" w:bidi="ar-SA"/>
        </w:rPr>
        <w:t>3.2.</w:t>
      </w:r>
      <w:r>
        <w:rPr>
          <w:rFonts w:hint="eastAsia" w:ascii="宋体" w:hAnsi="宋体" w:cs="宋体"/>
          <w:color w:val="auto"/>
          <w:szCs w:val="21"/>
        </w:rPr>
        <w:t>采购代理机构不接受电报、电话、电传、传真等非约定形式报价。</w:t>
      </w:r>
    </w:p>
    <w:p w14:paraId="5CEEA3D2">
      <w:pPr>
        <w:pageBreakBefore w:val="0"/>
        <w:numPr>
          <w:ilvl w:val="1"/>
          <w:numId w:val="0"/>
        </w:numPr>
        <w:kinsoku/>
        <w:overflowPunct/>
        <w:autoSpaceDN/>
        <w:bidi w:val="0"/>
        <w:adjustRightInd/>
        <w:spacing w:line="500" w:lineRule="exact"/>
        <w:ind w:left="567" w:leftChars="0" w:hanging="567" w:firstLineChars="0"/>
        <w:textAlignment w:val="auto"/>
        <w:rPr>
          <w:rFonts w:ascii="宋体" w:hAnsi="宋体" w:cs="宋体"/>
          <w:b/>
          <w:bCs/>
          <w:color w:val="auto"/>
          <w:szCs w:val="21"/>
        </w:rPr>
      </w:pPr>
      <w:r>
        <w:rPr>
          <w:rFonts w:hint="eastAsia" w:ascii="宋体" w:hAnsi="宋体" w:eastAsia="宋体" w:cs="宋体"/>
          <w:b/>
          <w:bCs/>
          <w:i w:val="0"/>
          <w:color w:val="auto"/>
          <w:kern w:val="2"/>
          <w:sz w:val="21"/>
          <w:szCs w:val="21"/>
          <w:lang w:val="en-US" w:eastAsia="zh-CN" w:bidi="ar-SA"/>
        </w:rPr>
        <w:t>3.3.</w:t>
      </w:r>
      <w:r>
        <w:rPr>
          <w:rFonts w:hint="eastAsia" w:ascii="宋体" w:hAnsi="宋体" w:cs="宋体"/>
          <w:b/>
          <w:bCs/>
          <w:color w:val="auto"/>
          <w:szCs w:val="21"/>
        </w:rPr>
        <w:t>响应文件的构成</w:t>
      </w:r>
    </w:p>
    <w:p w14:paraId="7A28CFDB">
      <w:pPr>
        <w:pageBreakBefore w:val="0"/>
        <w:tabs>
          <w:tab w:val="left" w:pos="840"/>
          <w:tab w:val="left" w:pos="1050"/>
          <w:tab w:val="left" w:pos="1155"/>
        </w:tabs>
        <w:kinsoku/>
        <w:overflowPunct/>
        <w:autoSpaceDN/>
        <w:bidi w:val="0"/>
        <w:adjustRightInd/>
        <w:spacing w:line="500" w:lineRule="exact"/>
        <w:ind w:left="1" w:firstLine="550" w:firstLineChars="262"/>
        <w:textAlignment w:val="auto"/>
        <w:rPr>
          <w:rFonts w:ascii="宋体" w:hAnsi="宋体" w:cs="宋体"/>
          <w:bCs/>
          <w:color w:val="auto"/>
          <w:szCs w:val="21"/>
        </w:rPr>
      </w:pPr>
      <w:r>
        <w:rPr>
          <w:rFonts w:hint="eastAsia" w:ascii="宋体" w:hAnsi="宋体" w:cs="宋体"/>
          <w:bCs/>
          <w:color w:val="auto"/>
          <w:szCs w:val="21"/>
        </w:rPr>
        <w:t>供应商编写的响应文件格式详见《第六章 响应文件格式》。</w:t>
      </w:r>
    </w:p>
    <w:p w14:paraId="432588CB">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color w:val="auto"/>
          <w:szCs w:val="21"/>
        </w:rPr>
      </w:pPr>
      <w:r>
        <w:rPr>
          <w:rFonts w:hint="eastAsia" w:ascii="宋体" w:hAnsi="宋体" w:eastAsia="宋体" w:cs="宋体"/>
          <w:b w:val="0"/>
          <w:i w:val="0"/>
          <w:color w:val="auto"/>
          <w:kern w:val="2"/>
          <w:sz w:val="21"/>
          <w:szCs w:val="21"/>
          <w:lang w:val="en-US" w:eastAsia="zh-CN" w:bidi="ar-SA"/>
        </w:rPr>
        <w:t>3.3.1.</w:t>
      </w:r>
      <w:r>
        <w:rPr>
          <w:rFonts w:hint="eastAsia" w:ascii="宋体" w:hAnsi="宋体" w:cs="宋体"/>
          <w:b/>
          <w:color w:val="auto"/>
          <w:szCs w:val="21"/>
          <w:u w:val="single"/>
        </w:rPr>
        <w:t>供应商应按照磋商文件的要求编制带有目录和页码并装订成册的响应文件。</w:t>
      </w:r>
    </w:p>
    <w:p w14:paraId="33288BF9">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color w:val="auto"/>
          <w:szCs w:val="21"/>
        </w:rPr>
      </w:pPr>
      <w:r>
        <w:rPr>
          <w:rFonts w:hint="eastAsia" w:ascii="宋体" w:hAnsi="宋体" w:eastAsia="宋体" w:cs="宋体"/>
          <w:b w:val="0"/>
          <w:i w:val="0"/>
          <w:color w:val="auto"/>
          <w:kern w:val="2"/>
          <w:sz w:val="21"/>
          <w:szCs w:val="21"/>
          <w:lang w:val="en-US" w:eastAsia="zh-CN" w:bidi="ar-SA"/>
        </w:rPr>
        <w:t>3.3.2.</w:t>
      </w:r>
      <w:r>
        <w:rPr>
          <w:rFonts w:hint="eastAsia" w:ascii="宋体" w:hAnsi="宋体" w:cs="宋体"/>
          <w:color w:val="auto"/>
          <w:szCs w:val="21"/>
        </w:rPr>
        <w:t>供应商必须自行承担因其响应文件的任何错漏而导致的一切后果。</w:t>
      </w:r>
    </w:p>
    <w:p w14:paraId="1525B24D">
      <w:pPr>
        <w:pageBreakBefore w:val="0"/>
        <w:numPr>
          <w:ilvl w:val="1"/>
          <w:numId w:val="0"/>
        </w:numPr>
        <w:tabs>
          <w:tab w:val="left" w:pos="735"/>
        </w:tabs>
        <w:kinsoku/>
        <w:overflowPunct/>
        <w:autoSpaceDN/>
        <w:bidi w:val="0"/>
        <w:adjustRightInd/>
        <w:spacing w:line="500" w:lineRule="exact"/>
        <w:ind w:left="567" w:leftChars="0" w:hanging="567" w:firstLineChars="0"/>
        <w:textAlignment w:val="auto"/>
        <w:rPr>
          <w:rFonts w:ascii="宋体" w:hAnsi="宋体" w:cs="宋体"/>
          <w:b/>
          <w:color w:val="auto"/>
          <w:szCs w:val="21"/>
        </w:rPr>
      </w:pPr>
      <w:r>
        <w:rPr>
          <w:rFonts w:hint="eastAsia" w:ascii="宋体" w:hAnsi="宋体" w:eastAsia="宋体" w:cs="宋体"/>
          <w:b/>
          <w:i w:val="0"/>
          <w:color w:val="auto"/>
          <w:kern w:val="2"/>
          <w:sz w:val="21"/>
          <w:szCs w:val="21"/>
          <w:lang w:val="en-US" w:eastAsia="zh-CN" w:bidi="ar-SA"/>
        </w:rPr>
        <w:t>3.4.</w:t>
      </w:r>
      <w:r>
        <w:rPr>
          <w:rFonts w:hint="eastAsia" w:ascii="宋体" w:hAnsi="宋体" w:cs="宋体"/>
          <w:b/>
          <w:color w:val="auto"/>
          <w:szCs w:val="21"/>
        </w:rPr>
        <w:t>响应文件的修改及撤回</w:t>
      </w:r>
    </w:p>
    <w:p w14:paraId="15F11AE2">
      <w:pPr>
        <w:pageBreakBefore w:val="0"/>
        <w:numPr>
          <w:ilvl w:val="2"/>
          <w:numId w:val="0"/>
        </w:numPr>
        <w:kinsoku/>
        <w:overflowPunct/>
        <w:autoSpaceDN/>
        <w:bidi w:val="0"/>
        <w:adjustRightInd/>
        <w:spacing w:line="500" w:lineRule="exact"/>
        <w:ind w:left="735" w:leftChars="0" w:hanging="735" w:hangingChars="350"/>
        <w:textAlignment w:val="auto"/>
        <w:rPr>
          <w:rFonts w:ascii="宋体" w:hAnsi="宋体" w:cs="宋体"/>
          <w:color w:val="auto"/>
          <w:szCs w:val="21"/>
        </w:rPr>
      </w:pPr>
      <w:r>
        <w:rPr>
          <w:rFonts w:hint="eastAsia" w:ascii="宋体" w:hAnsi="宋体" w:eastAsia="宋体" w:cs="宋体"/>
          <w:b w:val="0"/>
          <w:i w:val="0"/>
          <w:color w:val="auto"/>
          <w:kern w:val="2"/>
          <w:sz w:val="21"/>
          <w:szCs w:val="21"/>
          <w:lang w:val="en-US" w:eastAsia="zh-CN" w:bidi="ar-SA"/>
        </w:rPr>
        <w:t>3.4.1.</w:t>
      </w:r>
      <w:r>
        <w:rPr>
          <w:rFonts w:hint="eastAsia" w:ascii="宋体" w:hAnsi="宋体" w:cs="宋体"/>
          <w:color w:val="auto"/>
          <w:szCs w:val="21"/>
        </w:rPr>
        <w:t>在投标截止时间前，供应商可以以书面通知的形式向采购代理机构修改或撤回其响应文件。修改后的响应文件须按照本项目规定的投标截止时间之前重新递交，否则，采购代理机构将拒绝接受修改后的响应文件。</w:t>
      </w:r>
    </w:p>
    <w:p w14:paraId="6A044D52">
      <w:pPr>
        <w:pageBreakBefore w:val="0"/>
        <w:numPr>
          <w:ilvl w:val="2"/>
          <w:numId w:val="0"/>
        </w:numPr>
        <w:tabs>
          <w:tab w:val="left" w:pos="720"/>
        </w:tabs>
        <w:kinsoku/>
        <w:overflowPunct/>
        <w:autoSpaceDN/>
        <w:bidi w:val="0"/>
        <w:adjustRightInd/>
        <w:spacing w:line="500" w:lineRule="exact"/>
        <w:ind w:left="735" w:leftChars="0" w:hanging="735" w:hangingChars="350"/>
        <w:textAlignment w:val="auto"/>
        <w:rPr>
          <w:rFonts w:ascii="宋体" w:hAnsi="宋体" w:cs="宋体"/>
          <w:color w:val="auto"/>
          <w:szCs w:val="21"/>
        </w:rPr>
      </w:pPr>
      <w:r>
        <w:rPr>
          <w:rFonts w:hint="eastAsia" w:ascii="宋体" w:hAnsi="宋体" w:eastAsia="宋体" w:cs="宋体"/>
          <w:b w:val="0"/>
          <w:i w:val="0"/>
          <w:color w:val="auto"/>
          <w:kern w:val="2"/>
          <w:sz w:val="21"/>
          <w:szCs w:val="21"/>
          <w:lang w:val="en-US" w:eastAsia="zh-CN" w:bidi="ar-SA"/>
        </w:rPr>
        <w:t>3.4.2.</w:t>
      </w:r>
      <w:r>
        <w:rPr>
          <w:rFonts w:hint="eastAsia" w:ascii="宋体" w:hAnsi="宋体" w:cs="宋体"/>
          <w:color w:val="auto"/>
          <w:szCs w:val="21"/>
        </w:rPr>
        <w:t>在投标截止时间后，供应商不得对其响应文件作任何修改。从投标截止时间至投标有效期满之前，供应商不允许撤回其响应文件。</w:t>
      </w:r>
    </w:p>
    <w:p w14:paraId="344723BB">
      <w:pPr>
        <w:pStyle w:val="4"/>
        <w:pageBreakBefore w:val="0"/>
        <w:numPr>
          <w:ilvl w:val="1"/>
          <w:numId w:val="0"/>
        </w:numPr>
        <w:tabs>
          <w:tab w:val="left" w:pos="425"/>
        </w:tabs>
        <w:kinsoku/>
        <w:overflowPunct/>
        <w:autoSpaceDE/>
        <w:autoSpaceDN/>
        <w:bidi w:val="0"/>
        <w:adjustRightInd/>
        <w:snapToGrid/>
        <w:spacing w:before="260" w:line="500" w:lineRule="exact"/>
        <w:ind w:left="567" w:leftChars="0" w:hanging="567" w:firstLineChars="0"/>
        <w:textAlignment w:val="auto"/>
        <w:rPr>
          <w:rFonts w:cs="宋体"/>
          <w:color w:val="auto"/>
          <w:sz w:val="21"/>
          <w:szCs w:val="21"/>
        </w:rPr>
      </w:pPr>
      <w:r>
        <w:rPr>
          <w:rFonts w:hint="eastAsia" w:ascii="宋体" w:hAnsi="宋体" w:eastAsia="宋体" w:cs="宋体"/>
          <w:b/>
          <w:i w:val="0"/>
          <w:color w:val="auto"/>
          <w:kern w:val="2"/>
          <w:sz w:val="21"/>
          <w:szCs w:val="21"/>
          <w:lang w:val="en-US" w:eastAsia="zh-CN" w:bidi="ar-SA"/>
        </w:rPr>
        <w:t>3.5.</w:t>
      </w:r>
      <w:r>
        <w:rPr>
          <w:rFonts w:hint="eastAsia" w:cs="宋体"/>
          <w:color w:val="auto"/>
          <w:sz w:val="21"/>
          <w:szCs w:val="21"/>
        </w:rPr>
        <w:t xml:space="preserve"> 响应文件的签署、封装和递交</w:t>
      </w:r>
    </w:p>
    <w:p w14:paraId="27911B61">
      <w:pPr>
        <w:numPr>
          <w:ilvl w:val="2"/>
          <w:numId w:val="0"/>
        </w:numPr>
        <w:tabs>
          <w:tab w:val="left" w:pos="735"/>
        </w:tabs>
        <w:spacing w:line="360" w:lineRule="auto"/>
        <w:ind w:left="735" w:leftChars="0" w:hanging="735" w:hangingChars="350"/>
        <w:rPr>
          <w:rFonts w:ascii="宋体" w:hAnsi="宋体" w:cs="宋体"/>
          <w:color w:val="auto"/>
          <w:szCs w:val="21"/>
        </w:rPr>
      </w:pPr>
      <w:r>
        <w:rPr>
          <w:rFonts w:hint="eastAsia" w:ascii="宋体" w:hAnsi="宋体" w:eastAsia="宋体" w:cs="宋体"/>
          <w:b w:val="0"/>
          <w:i w:val="0"/>
          <w:color w:val="auto"/>
          <w:kern w:val="2"/>
          <w:sz w:val="21"/>
          <w:szCs w:val="21"/>
          <w:lang w:val="en-US" w:eastAsia="zh-CN" w:bidi="ar-SA"/>
        </w:rPr>
        <w:t>3.5.1.</w:t>
      </w:r>
      <w:r>
        <w:rPr>
          <w:rFonts w:hint="eastAsia" w:ascii="宋体" w:hAnsi="宋体" w:cs="宋体"/>
          <w:b/>
          <w:bCs/>
          <w:color w:val="auto"/>
          <w:szCs w:val="21"/>
        </w:rPr>
        <w:t>响应文件纸质文档总共三套：正本一套，副本两套</w:t>
      </w:r>
      <w:r>
        <w:rPr>
          <w:rFonts w:hint="eastAsia" w:ascii="宋体" w:hAnsi="宋体" w:cs="宋体"/>
          <w:b/>
          <w:bCs/>
          <w:color w:val="auto"/>
          <w:szCs w:val="21"/>
          <w:lang w:eastAsia="zh-CN"/>
        </w:rPr>
        <w:t>。</w:t>
      </w:r>
      <w:r>
        <w:rPr>
          <w:rFonts w:hint="eastAsia" w:ascii="宋体" w:hAnsi="宋体" w:cs="宋体"/>
          <w:color w:val="000000" w:themeColor="text1"/>
          <w:szCs w:val="21"/>
          <w14:textFill>
            <w14:solidFill>
              <w14:schemeClr w14:val="tx1"/>
            </w14:solidFill>
          </w14:textFill>
        </w:rPr>
        <w:t>所有</w:t>
      </w:r>
      <w:r>
        <w:rPr>
          <w:rFonts w:hint="eastAsia" w:ascii="宋体" w:hAnsi="宋体" w:cs="宋体"/>
          <w:color w:val="000000" w:themeColor="text1"/>
          <w:szCs w:val="21"/>
          <w:lang w:eastAsia="zh-CN"/>
          <w14:textFill>
            <w14:solidFill>
              <w14:schemeClr w14:val="tx1"/>
            </w14:solidFill>
          </w14:textFill>
        </w:rPr>
        <w:t>响应</w:t>
      </w:r>
      <w:r>
        <w:rPr>
          <w:rFonts w:hint="eastAsia" w:ascii="宋体" w:hAnsi="宋体" w:cs="宋体"/>
          <w:color w:val="000000" w:themeColor="text1"/>
          <w:szCs w:val="21"/>
          <w14:textFill>
            <w14:solidFill>
              <w14:schemeClr w14:val="tx1"/>
            </w14:solidFill>
          </w14:textFill>
        </w:rPr>
        <w:t>文件（附特殊规格的图纸外）应按A4规格制作。副本可由正本签字盖章后复印而成，如正本与副本不</w:t>
      </w:r>
      <w:r>
        <w:rPr>
          <w:rFonts w:hint="eastAsia" w:ascii="宋体" w:hAnsi="宋体" w:cs="宋体"/>
          <w:color w:val="000000" w:themeColor="text1"/>
          <w:szCs w:val="21"/>
          <w:lang w:val="en-US" w:eastAsia="zh-CN"/>
          <w14:textFill>
            <w14:solidFill>
              <w14:schemeClr w14:val="tx1"/>
            </w14:solidFill>
          </w14:textFill>
        </w:rPr>
        <w:t>一致</w:t>
      </w:r>
      <w:r>
        <w:rPr>
          <w:rFonts w:hint="eastAsia" w:ascii="宋体" w:hAnsi="宋体" w:cs="宋体"/>
          <w:color w:val="000000" w:themeColor="text1"/>
          <w:szCs w:val="21"/>
          <w14:textFill>
            <w14:solidFill>
              <w14:schemeClr w14:val="tx1"/>
            </w14:solidFill>
          </w14:textFill>
        </w:rPr>
        <w:t>，以正本为准。</w:t>
      </w:r>
      <w:r>
        <w:rPr>
          <w:rFonts w:hint="eastAsia" w:ascii="宋体" w:hAnsi="宋体" w:cs="宋体"/>
          <w:color w:val="000000" w:themeColor="text1"/>
          <w:szCs w:val="21"/>
          <w:lang w:eastAsia="zh-CN"/>
          <w14:textFill>
            <w14:solidFill>
              <w14:schemeClr w14:val="tx1"/>
            </w14:solidFill>
          </w14:textFill>
        </w:rPr>
        <w:t>响应</w:t>
      </w:r>
      <w:r>
        <w:rPr>
          <w:rFonts w:hint="eastAsia" w:ascii="宋体" w:hAnsi="宋体" w:cs="宋体"/>
          <w:color w:val="000000" w:themeColor="text1"/>
          <w:szCs w:val="21"/>
          <w14:textFill>
            <w14:solidFill>
              <w14:schemeClr w14:val="tx1"/>
            </w14:solidFill>
          </w14:textFill>
        </w:rPr>
        <w:t>文件应由</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的合法授权代表正式签署，如有任何更改应由原签署人签字。无论投标结果如何，</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的</w:t>
      </w:r>
      <w:r>
        <w:rPr>
          <w:rFonts w:hint="eastAsia" w:ascii="宋体" w:hAnsi="宋体" w:eastAsia="宋体" w:cs="宋体"/>
          <w:b w:val="0"/>
          <w:bCs/>
          <w:i w:val="0"/>
          <w:color w:val="000000" w:themeColor="text1"/>
          <w:kern w:val="2"/>
          <w:sz w:val="21"/>
          <w:szCs w:val="21"/>
          <w:lang w:val="en-US" w:eastAsia="zh-CN" w:bidi="ar-SA"/>
          <w14:textFill>
            <w14:solidFill>
              <w14:schemeClr w14:val="tx1"/>
            </w14:solidFill>
          </w14:textFill>
        </w:rPr>
        <w:t>全部响应文件均不退回。</w:t>
      </w:r>
    </w:p>
    <w:p w14:paraId="05E34297">
      <w:pPr>
        <w:numPr>
          <w:ilvl w:val="2"/>
          <w:numId w:val="0"/>
        </w:numPr>
        <w:tabs>
          <w:tab w:val="left" w:pos="735"/>
        </w:tabs>
        <w:spacing w:line="360" w:lineRule="auto"/>
        <w:ind w:left="735" w:leftChars="0" w:hanging="735" w:hangingChars="350"/>
        <w:rPr>
          <w:rFonts w:hint="default" w:ascii="宋体" w:hAnsi="宋体" w:eastAsia="宋体" w:cs="宋体"/>
          <w:b w:val="0"/>
          <w:bCs/>
          <w:i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i w:val="0"/>
          <w:color w:val="auto"/>
          <w:kern w:val="2"/>
          <w:sz w:val="21"/>
          <w:szCs w:val="21"/>
          <w:lang w:val="en-US" w:eastAsia="zh-CN" w:bidi="ar-SA"/>
        </w:rPr>
        <w:t>3.5.2.</w:t>
      </w:r>
      <w:r>
        <w:rPr>
          <w:rFonts w:hint="eastAsia" w:ascii="宋体" w:hAnsi="宋体" w:cs="宋体"/>
          <w:b/>
          <w:bCs/>
          <w:color w:val="auto"/>
          <w:szCs w:val="21"/>
        </w:rPr>
        <w:t>响应文件电子文档一份</w:t>
      </w:r>
      <w:r>
        <w:rPr>
          <w:rFonts w:hint="eastAsia" w:ascii="宋体" w:hAnsi="宋体" w:cs="宋体"/>
          <w:b/>
          <w:bCs/>
          <w:color w:val="auto"/>
          <w:szCs w:val="21"/>
          <w:lang w:val="en-US" w:eastAsia="zh-CN"/>
        </w:rPr>
        <w:t>:</w:t>
      </w:r>
      <w:r>
        <w:rPr>
          <w:rFonts w:hint="eastAsia" w:ascii="宋体" w:hAnsi="宋体" w:eastAsia="宋体" w:cs="宋体"/>
          <w:b w:val="0"/>
          <w:bCs/>
          <w:i w:val="0"/>
          <w:color w:val="000000" w:themeColor="text1"/>
          <w:kern w:val="2"/>
          <w:sz w:val="21"/>
          <w:szCs w:val="21"/>
          <w:lang w:val="en-US" w:eastAsia="zh-CN" w:bidi="ar-SA"/>
          <w14:textFill>
            <w14:solidFill>
              <w14:schemeClr w14:val="tx1"/>
            </w14:solidFill>
          </w14:textFill>
        </w:rPr>
        <w:t>响应文件电子版为光盘或U盘介质，介质内须提供正本可编辑电子文件</w:t>
      </w:r>
      <w:r>
        <w:rPr>
          <w:rFonts w:hint="eastAsia" w:ascii="宋体" w:hAnsi="宋体" w:eastAsia="宋体" w:cs="宋体"/>
          <w:b/>
          <w:bCs w:val="0"/>
          <w:i w:val="0"/>
          <w:color w:val="000000" w:themeColor="text1"/>
          <w:kern w:val="2"/>
          <w:sz w:val="21"/>
          <w:szCs w:val="21"/>
          <w:lang w:val="en-US" w:eastAsia="zh-CN" w:bidi="ar-SA"/>
          <w14:textFill>
            <w14:solidFill>
              <w14:schemeClr w14:val="tx1"/>
            </w14:solidFill>
          </w14:textFill>
        </w:rPr>
        <w:t>（word版本）和正本签字盖章后的扫描件（pdf版本）</w:t>
      </w:r>
      <w:r>
        <w:rPr>
          <w:rFonts w:hint="eastAsia" w:ascii="宋体" w:hAnsi="宋体" w:eastAsia="宋体" w:cs="宋体"/>
          <w:b w:val="0"/>
          <w:bCs/>
          <w:i w:val="0"/>
          <w:color w:val="000000" w:themeColor="text1"/>
          <w:kern w:val="2"/>
          <w:sz w:val="21"/>
          <w:szCs w:val="21"/>
          <w:lang w:val="en-US" w:eastAsia="zh-CN" w:bidi="ar-SA"/>
          <w14:textFill>
            <w14:solidFill>
              <w14:schemeClr w14:val="tx1"/>
            </w14:solidFill>
          </w14:textFill>
        </w:rPr>
        <w:t>，不留密码，无病毒，内容应与纸质响应文件内容一致，如有不同，以纸质响应文件为准。</w:t>
      </w:r>
    </w:p>
    <w:p w14:paraId="17FCAD1B">
      <w:pPr>
        <w:pageBreakBefore w:val="0"/>
        <w:numPr>
          <w:ilvl w:val="2"/>
          <w:numId w:val="0"/>
        </w:numPr>
        <w:tabs>
          <w:tab w:val="left" w:pos="720"/>
        </w:tabs>
        <w:kinsoku/>
        <w:overflowPunct/>
        <w:autoSpaceDN/>
        <w:bidi w:val="0"/>
        <w:adjustRightInd/>
        <w:spacing w:line="500" w:lineRule="exact"/>
        <w:ind w:left="735" w:leftChars="0" w:hanging="735" w:hangingChars="350"/>
        <w:textAlignment w:val="auto"/>
        <w:rPr>
          <w:rFonts w:hint="eastAsia" w:ascii="宋体" w:hAnsi="宋体" w:eastAsia="宋体" w:cs="宋体"/>
          <w:color w:val="auto"/>
          <w:szCs w:val="21"/>
          <w:lang w:val="en-US" w:eastAsia="zh-CN"/>
        </w:rPr>
      </w:pPr>
    </w:p>
    <w:p w14:paraId="56F97895">
      <w:pPr>
        <w:pageBreakBefore w:val="0"/>
        <w:numPr>
          <w:ilvl w:val="2"/>
          <w:numId w:val="0"/>
        </w:numPr>
        <w:tabs>
          <w:tab w:val="left" w:pos="720"/>
        </w:tabs>
        <w:kinsoku/>
        <w:overflowPunct/>
        <w:autoSpaceDN/>
        <w:bidi w:val="0"/>
        <w:adjustRightInd/>
        <w:spacing w:line="500" w:lineRule="exact"/>
        <w:ind w:left="735" w:leftChars="0" w:hanging="735" w:hangingChars="350"/>
        <w:textAlignment w:val="auto"/>
        <w:rPr>
          <w:rFonts w:ascii="宋体" w:hAnsi="宋体" w:cs="宋体"/>
          <w:color w:val="auto"/>
          <w:szCs w:val="21"/>
        </w:rPr>
      </w:pPr>
      <w:r>
        <w:rPr>
          <w:rFonts w:hint="eastAsia" w:ascii="宋体" w:hAnsi="宋体" w:eastAsia="宋体" w:cs="宋体"/>
          <w:b w:val="0"/>
          <w:i w:val="0"/>
          <w:color w:val="auto"/>
          <w:kern w:val="2"/>
          <w:sz w:val="21"/>
          <w:szCs w:val="21"/>
          <w:lang w:val="en-US" w:eastAsia="zh-CN" w:bidi="ar-SA"/>
        </w:rPr>
        <w:t>3.5.3.</w:t>
      </w:r>
      <w:r>
        <w:rPr>
          <w:rFonts w:hint="eastAsia" w:ascii="宋体" w:hAnsi="宋体" w:cs="宋体"/>
          <w:b/>
          <w:color w:val="auto"/>
          <w:szCs w:val="21"/>
        </w:rPr>
        <w:t>响应文件封装</w:t>
      </w:r>
      <w:r>
        <w:rPr>
          <w:rFonts w:hint="eastAsia" w:ascii="宋体" w:hAnsi="宋体" w:cs="宋体"/>
          <w:b/>
          <w:color w:val="auto"/>
          <w:szCs w:val="21"/>
          <w:lang w:val="en-US" w:eastAsia="zh-CN"/>
        </w:rPr>
        <w:t>一份</w:t>
      </w:r>
      <w:r>
        <w:rPr>
          <w:rFonts w:hint="eastAsia" w:ascii="宋体" w:hAnsi="宋体" w:cs="宋体"/>
          <w:b/>
          <w:color w:val="auto"/>
          <w:szCs w:val="21"/>
        </w:rPr>
        <w:t>：“正本和副本”</w:t>
      </w:r>
      <w:r>
        <w:rPr>
          <w:rFonts w:hint="eastAsia" w:ascii="宋体" w:hAnsi="宋体" w:cs="宋体"/>
          <w:b/>
          <w:color w:val="auto"/>
          <w:szCs w:val="21"/>
          <w:lang w:val="en-US" w:eastAsia="zh-CN"/>
        </w:rPr>
        <w:t>和“电子文档”</w:t>
      </w:r>
      <w:r>
        <w:rPr>
          <w:rFonts w:hint="eastAsia" w:ascii="宋体" w:hAnsi="宋体" w:cs="宋体"/>
          <w:color w:val="auto"/>
          <w:szCs w:val="21"/>
        </w:rPr>
        <w:t>封装于密封的信封。在封口处加盖</w:t>
      </w:r>
      <w:r>
        <w:rPr>
          <w:rFonts w:hint="eastAsia" w:ascii="宋体" w:hAnsi="宋体" w:cs="宋体"/>
          <w:color w:val="auto"/>
          <w:szCs w:val="21"/>
          <w:lang w:val="en-US" w:eastAsia="zh-CN"/>
        </w:rPr>
        <w:t>供应商</w:t>
      </w:r>
      <w:r>
        <w:rPr>
          <w:rFonts w:hint="eastAsia" w:ascii="宋体" w:hAnsi="宋体" w:cs="宋体"/>
          <w:color w:val="auto"/>
          <w:szCs w:val="21"/>
        </w:rPr>
        <w:t>公章，并在封面上写明：</w:t>
      </w:r>
    </w:p>
    <w:tbl>
      <w:tblPr>
        <w:tblStyle w:val="46"/>
        <w:tblW w:w="7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0"/>
      </w:tblGrid>
      <w:tr w14:paraId="0008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40" w:type="dxa"/>
          </w:tcPr>
          <w:p w14:paraId="65B27907">
            <w:pPr>
              <w:pageBreakBefore w:val="0"/>
              <w:kinsoku/>
              <w:overflowPunct/>
              <w:autoSpaceDN/>
              <w:bidi w:val="0"/>
              <w:adjustRightInd/>
              <w:spacing w:line="500" w:lineRule="exact"/>
              <w:ind w:left="255"/>
              <w:jc w:val="right"/>
              <w:textAlignment w:val="auto"/>
              <w:rPr>
                <w:rFonts w:ascii="宋体" w:hAnsi="宋体" w:cs="宋体"/>
                <w:color w:val="auto"/>
                <w:szCs w:val="21"/>
              </w:rPr>
            </w:pPr>
            <w:r>
              <w:rPr>
                <w:rFonts w:hint="eastAsia" w:ascii="宋体" w:hAnsi="宋体" w:cs="宋体"/>
                <w:color w:val="auto"/>
                <w:szCs w:val="21"/>
              </w:rPr>
              <w:t>（正本</w:t>
            </w:r>
            <w:r>
              <w:rPr>
                <w:rFonts w:hint="eastAsia" w:ascii="宋体" w:hAnsi="宋体" w:cs="宋体"/>
                <w:color w:val="auto"/>
                <w:szCs w:val="21"/>
                <w:lang w:eastAsia="zh-CN"/>
              </w:rPr>
              <w:t>、</w:t>
            </w:r>
            <w:r>
              <w:rPr>
                <w:rFonts w:hint="eastAsia" w:ascii="宋体" w:hAnsi="宋体" w:cs="宋体"/>
                <w:color w:val="auto"/>
                <w:szCs w:val="21"/>
              </w:rPr>
              <w:t>副本</w:t>
            </w:r>
            <w:r>
              <w:rPr>
                <w:rFonts w:hint="eastAsia" w:ascii="宋体" w:hAnsi="宋体" w:cs="宋体"/>
                <w:color w:val="auto"/>
                <w:szCs w:val="21"/>
                <w:lang w:val="en-US" w:eastAsia="zh-CN"/>
              </w:rPr>
              <w:t>和电子文档</w:t>
            </w:r>
            <w:r>
              <w:rPr>
                <w:rFonts w:hint="eastAsia" w:ascii="宋体" w:hAnsi="宋体" w:cs="宋体"/>
                <w:color w:val="auto"/>
                <w:szCs w:val="21"/>
              </w:rPr>
              <w:t>）</w:t>
            </w:r>
          </w:p>
          <w:p w14:paraId="2B1CF98F">
            <w:pPr>
              <w:pageBreakBefore w:val="0"/>
              <w:kinsoku/>
              <w:overflowPunct/>
              <w:autoSpaceDN/>
              <w:bidi w:val="0"/>
              <w:adjustRightInd/>
              <w:spacing w:line="500" w:lineRule="exact"/>
              <w:ind w:left="435"/>
              <w:textAlignment w:val="auto"/>
              <w:rPr>
                <w:rFonts w:ascii="宋体" w:hAnsi="宋体" w:cs="宋体"/>
                <w:color w:val="auto"/>
                <w:szCs w:val="21"/>
              </w:rPr>
            </w:pPr>
            <w:r>
              <w:rPr>
                <w:rFonts w:hint="eastAsia" w:ascii="宋体" w:hAnsi="宋体" w:cs="宋体"/>
                <w:color w:val="auto"/>
                <w:szCs w:val="21"/>
              </w:rPr>
              <w:t>收件人名称：韶关市君信招标代理有限公司</w:t>
            </w:r>
          </w:p>
          <w:p w14:paraId="15D0A1B6">
            <w:pPr>
              <w:pageBreakBefore w:val="0"/>
              <w:kinsoku/>
              <w:overflowPunct/>
              <w:autoSpaceDN/>
              <w:bidi w:val="0"/>
              <w:adjustRightInd/>
              <w:spacing w:line="500" w:lineRule="exact"/>
              <w:ind w:left="435"/>
              <w:textAlignment w:val="auto"/>
              <w:rPr>
                <w:rFonts w:ascii="宋体" w:hAnsi="宋体" w:cs="宋体"/>
                <w:color w:val="auto"/>
                <w:szCs w:val="21"/>
              </w:rPr>
            </w:pPr>
            <w:r>
              <w:rPr>
                <w:rFonts w:hint="eastAsia" w:ascii="宋体" w:hAnsi="宋体" w:cs="宋体"/>
                <w:color w:val="auto"/>
                <w:szCs w:val="21"/>
              </w:rPr>
              <w:t xml:space="preserve">项目名称：                      项目编号：            </w:t>
            </w:r>
          </w:p>
          <w:p w14:paraId="4E8BA420">
            <w:pPr>
              <w:pageBreakBefore w:val="0"/>
              <w:kinsoku/>
              <w:overflowPunct/>
              <w:autoSpaceDN/>
              <w:bidi w:val="0"/>
              <w:adjustRightInd/>
              <w:spacing w:line="500" w:lineRule="exact"/>
              <w:ind w:left="435"/>
              <w:textAlignment w:val="auto"/>
              <w:rPr>
                <w:rFonts w:ascii="宋体" w:hAnsi="宋体" w:cs="宋体"/>
                <w:color w:val="auto"/>
                <w:szCs w:val="21"/>
              </w:rPr>
            </w:pPr>
            <w:r>
              <w:rPr>
                <w:rFonts w:hint="eastAsia" w:ascii="宋体" w:hAnsi="宋体" w:cs="宋体"/>
                <w:color w:val="auto"/>
                <w:szCs w:val="21"/>
              </w:rPr>
              <w:t>供应商名称：                    供应商地址：</w:t>
            </w:r>
          </w:p>
          <w:p w14:paraId="732E256A">
            <w:pPr>
              <w:pageBreakBefore w:val="0"/>
              <w:kinsoku/>
              <w:overflowPunct/>
              <w:autoSpaceDN/>
              <w:bidi w:val="0"/>
              <w:adjustRightInd/>
              <w:spacing w:line="500" w:lineRule="exact"/>
              <w:ind w:left="435"/>
              <w:textAlignment w:val="auto"/>
              <w:rPr>
                <w:rFonts w:ascii="宋体" w:hAnsi="宋体" w:cs="宋体"/>
                <w:color w:val="auto"/>
                <w:szCs w:val="21"/>
              </w:rPr>
            </w:pPr>
            <w:r>
              <w:rPr>
                <w:rFonts w:hint="eastAsia" w:ascii="宋体" w:hAnsi="宋体" w:cs="宋体"/>
                <w:color w:val="auto"/>
                <w:szCs w:val="21"/>
              </w:rPr>
              <w:t>联系人：                        联系电话：</w:t>
            </w:r>
          </w:p>
          <w:p w14:paraId="239F5F55">
            <w:pPr>
              <w:pageBreakBefore w:val="0"/>
              <w:kinsoku/>
              <w:overflowPunct/>
              <w:autoSpaceDN/>
              <w:bidi w:val="0"/>
              <w:adjustRightInd/>
              <w:spacing w:line="500" w:lineRule="exact"/>
              <w:ind w:left="435"/>
              <w:textAlignment w:val="auto"/>
              <w:rPr>
                <w:rFonts w:ascii="宋体" w:hAnsi="宋体" w:cs="宋体"/>
                <w:color w:val="auto"/>
                <w:szCs w:val="21"/>
              </w:rPr>
            </w:pPr>
            <w:r>
              <w:rPr>
                <w:rFonts w:hint="eastAsia" w:ascii="宋体" w:hAnsi="宋体" w:cs="宋体"/>
                <w:color w:val="auto"/>
                <w:szCs w:val="21"/>
              </w:rPr>
              <w:t>(    年    月    日    时    分)之前不得启封</w:t>
            </w:r>
          </w:p>
        </w:tc>
      </w:tr>
    </w:tbl>
    <w:p w14:paraId="7987E64F">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b/>
          <w:bCs/>
          <w:color w:val="auto"/>
          <w:szCs w:val="21"/>
        </w:rPr>
      </w:pPr>
      <w:r>
        <w:rPr>
          <w:rFonts w:hint="eastAsia" w:ascii="宋体" w:hAnsi="宋体" w:eastAsia="宋体" w:cs="宋体"/>
          <w:b w:val="0"/>
          <w:bCs/>
          <w:i w:val="0"/>
          <w:color w:val="auto"/>
          <w:kern w:val="2"/>
          <w:sz w:val="21"/>
          <w:szCs w:val="21"/>
          <w:lang w:val="en-US" w:eastAsia="zh-CN" w:bidi="ar-SA"/>
        </w:rPr>
        <w:t>3.5.4.</w:t>
      </w:r>
      <w:r>
        <w:rPr>
          <w:rFonts w:hint="eastAsia" w:ascii="宋体" w:hAnsi="宋体" w:cs="宋体"/>
          <w:color w:val="auto"/>
          <w:szCs w:val="21"/>
        </w:rPr>
        <w:t>采购代理机构对因响应文件未装订成册而造成的响应文件的损坏、丢失不承担任何责任。</w:t>
      </w:r>
    </w:p>
    <w:p w14:paraId="1BA7ED26">
      <w:pPr>
        <w:pageBreakBefore w:val="0"/>
        <w:numPr>
          <w:ilvl w:val="2"/>
          <w:numId w:val="0"/>
        </w:numPr>
        <w:kinsoku/>
        <w:overflowPunct/>
        <w:autoSpaceDN/>
        <w:bidi w:val="0"/>
        <w:adjustRightInd/>
        <w:spacing w:line="500" w:lineRule="exact"/>
        <w:ind w:left="735" w:leftChars="0" w:hanging="735" w:hangingChars="350"/>
        <w:textAlignment w:val="auto"/>
        <w:rPr>
          <w:rFonts w:ascii="宋体" w:hAnsi="宋体"/>
          <w:b/>
          <w:color w:val="auto"/>
          <w:szCs w:val="24"/>
        </w:rPr>
      </w:pPr>
      <w:r>
        <w:rPr>
          <w:rFonts w:hint="eastAsia" w:ascii="宋体" w:hAnsi="宋体" w:eastAsia="宋体" w:cs="Times New Roman"/>
          <w:b w:val="0"/>
          <w:i w:val="0"/>
          <w:color w:val="auto"/>
          <w:kern w:val="2"/>
          <w:sz w:val="21"/>
          <w:szCs w:val="21"/>
          <w:lang w:val="en-US" w:eastAsia="zh-CN" w:bidi="ar-SA"/>
        </w:rPr>
        <w:t>3.5.5.</w:t>
      </w:r>
      <w:r>
        <w:rPr>
          <w:rFonts w:hint="eastAsia" w:ascii="宋体" w:hAnsi="宋体" w:cs="宋体"/>
          <w:b/>
          <w:color w:val="auto"/>
          <w:szCs w:val="21"/>
          <w:lang w:bidi="ar"/>
        </w:rPr>
        <w:t>递交方式：现场递交、邮寄递交</w:t>
      </w:r>
    </w:p>
    <w:p w14:paraId="508B009A">
      <w:pPr>
        <w:pageBreakBefore w:val="0"/>
        <w:kinsoku/>
        <w:wordWrap w:val="0"/>
        <w:overflowPunct/>
        <w:topLinePunct/>
        <w:autoSpaceDE w:val="0"/>
        <w:autoSpaceDN/>
        <w:bidi w:val="0"/>
        <w:adjustRightInd/>
        <w:spacing w:line="500" w:lineRule="exact"/>
        <w:ind w:firstLine="738" w:firstLineChars="350"/>
        <w:textAlignment w:val="auto"/>
        <w:rPr>
          <w:rFonts w:ascii="宋体" w:hAnsi="宋体"/>
          <w:bCs/>
          <w:color w:val="auto"/>
          <w:szCs w:val="24"/>
        </w:rPr>
      </w:pPr>
      <w:r>
        <w:rPr>
          <w:rFonts w:hint="eastAsia" w:ascii="宋体" w:hAnsi="宋体" w:cs="宋体"/>
          <w:b/>
          <w:color w:val="auto"/>
          <w:szCs w:val="21"/>
          <w:lang w:bidi="ar"/>
        </w:rPr>
        <w:t>（1）现场递交：</w:t>
      </w:r>
      <w:r>
        <w:rPr>
          <w:rFonts w:hint="eastAsia" w:ascii="宋体" w:hAnsi="宋体" w:cs="宋体"/>
          <w:bCs/>
          <w:color w:val="auto"/>
          <w:szCs w:val="21"/>
          <w:lang w:bidi="ar"/>
        </w:rPr>
        <w:t>供应商法定代表人或其委托代理人应</w:t>
      </w:r>
      <w:r>
        <w:rPr>
          <w:rFonts w:hint="eastAsia" w:ascii="宋体" w:hAnsi="宋体" w:cs="宋体"/>
          <w:b/>
          <w:color w:val="auto"/>
          <w:szCs w:val="21"/>
          <w:lang w:bidi="ar"/>
        </w:rPr>
        <w:t>持身份证原件、法定代表人证明及授权书（如有）</w:t>
      </w:r>
      <w:r>
        <w:rPr>
          <w:rFonts w:hint="eastAsia" w:ascii="宋体" w:hAnsi="宋体" w:cs="宋体"/>
          <w:bCs/>
          <w:color w:val="auto"/>
          <w:szCs w:val="21"/>
          <w:lang w:bidi="ar"/>
        </w:rPr>
        <w:t>在指定的时间和地点进行现场签到、递交响应文件和相关资料。</w:t>
      </w:r>
    </w:p>
    <w:p w14:paraId="0F5FD74E">
      <w:pPr>
        <w:pageBreakBefore w:val="0"/>
        <w:kinsoku/>
        <w:wordWrap w:val="0"/>
        <w:overflowPunct/>
        <w:topLinePunct/>
        <w:autoSpaceDE w:val="0"/>
        <w:autoSpaceDN/>
        <w:bidi w:val="0"/>
        <w:adjustRightInd/>
        <w:spacing w:line="500" w:lineRule="exact"/>
        <w:ind w:firstLine="738" w:firstLineChars="350"/>
        <w:textAlignment w:val="auto"/>
        <w:rPr>
          <w:rFonts w:ascii="宋体" w:hAnsi="宋体"/>
          <w:bCs/>
          <w:color w:val="auto"/>
          <w:szCs w:val="24"/>
        </w:rPr>
      </w:pPr>
      <w:r>
        <w:rPr>
          <w:rFonts w:hint="eastAsia" w:ascii="宋体" w:hAnsi="宋体" w:cs="宋体"/>
          <w:b/>
          <w:color w:val="auto"/>
          <w:szCs w:val="21"/>
          <w:lang w:bidi="ar"/>
        </w:rPr>
        <w:t>（2）邮寄递交：</w:t>
      </w:r>
      <w:r>
        <w:rPr>
          <w:rFonts w:hint="eastAsia" w:ascii="宋体" w:hAnsi="宋体" w:cs="宋体"/>
          <w:bCs/>
          <w:color w:val="auto"/>
          <w:szCs w:val="21"/>
          <w:lang w:bidi="ar"/>
        </w:rPr>
        <w:t>供应商可采用邮寄方式递交响应文件，法定代表人或其委托代理人不用进行现场签到，</w:t>
      </w:r>
      <w:r>
        <w:rPr>
          <w:rFonts w:hint="eastAsia" w:ascii="宋体" w:hAnsi="宋体" w:cs="宋体"/>
          <w:b/>
          <w:color w:val="auto"/>
          <w:szCs w:val="21"/>
          <w:lang w:bidi="ar"/>
        </w:rPr>
        <w:t>响应文件、</w:t>
      </w:r>
      <w:r>
        <w:rPr>
          <w:rFonts w:hint="eastAsia"/>
          <w:b/>
          <w:bCs/>
          <w:color w:val="auto"/>
        </w:rPr>
        <w:t>最终承诺报价书</w:t>
      </w:r>
      <w:r>
        <w:rPr>
          <w:rFonts w:hint="eastAsia" w:ascii="宋体" w:hAnsi="宋体" w:cs="宋体"/>
          <w:b/>
          <w:color w:val="auto"/>
          <w:szCs w:val="21"/>
          <w:lang w:bidi="ar"/>
        </w:rPr>
        <w:t>应在开标时间前邮寄到开标地点，响应文件等相关资料的到达时间以邮件到达开标地点的时间为准，不接受到付件，并且在任何情况下采购人及招标代理机构对邮寄过程中发生的迟交或遗失都不承担任何责任。</w:t>
      </w:r>
      <w:r>
        <w:rPr>
          <w:rFonts w:hint="eastAsia" w:ascii="宋体" w:hAnsi="宋体" w:cs="宋体"/>
          <w:bCs/>
          <w:color w:val="auto"/>
          <w:szCs w:val="21"/>
          <w:lang w:bidi="ar"/>
        </w:rPr>
        <w:t>（“</w:t>
      </w:r>
      <w:r>
        <w:rPr>
          <w:color w:val="auto"/>
        </w:rPr>
        <w:fldChar w:fldCharType="begin"/>
      </w:r>
      <w:r>
        <w:rPr>
          <w:color w:val="auto"/>
        </w:rPr>
        <w:instrText xml:space="preserve"> HYPERLINK "http://www.junxinzbgs.com/download/showdownload.php?lang=cn&amp;id=18" \o "最终（第二次）报价表" </w:instrText>
      </w:r>
      <w:r>
        <w:rPr>
          <w:color w:val="auto"/>
        </w:rPr>
        <w:fldChar w:fldCharType="separate"/>
      </w:r>
      <w:r>
        <w:rPr>
          <w:rStyle w:val="53"/>
          <w:rFonts w:hint="eastAsia" w:ascii="宋体" w:hAnsi="宋体" w:cs="宋体"/>
          <w:bCs/>
          <w:color w:val="auto"/>
          <w:szCs w:val="21"/>
          <w:u w:val="none"/>
        </w:rPr>
        <w:t>最终承诺报价书</w:t>
      </w:r>
      <w:r>
        <w:rPr>
          <w:rStyle w:val="53"/>
          <w:rFonts w:hint="eastAsia" w:ascii="宋体" w:hAnsi="宋体" w:cs="宋体"/>
          <w:bCs/>
          <w:color w:val="auto"/>
          <w:szCs w:val="21"/>
          <w:u w:val="none"/>
        </w:rPr>
        <w:fldChar w:fldCharType="end"/>
      </w:r>
      <w:r>
        <w:rPr>
          <w:rFonts w:hint="eastAsia" w:ascii="宋体" w:hAnsi="宋体" w:cs="宋体"/>
          <w:bCs/>
          <w:color w:val="auto"/>
          <w:szCs w:val="21"/>
          <w:lang w:bidi="ar"/>
        </w:rPr>
        <w:t>”须与响应文件一起提交，格式在采购代理机构网站www.junxinzbgs.com下载。其中“</w:t>
      </w:r>
      <w:r>
        <w:rPr>
          <w:rFonts w:hint="eastAsia"/>
          <w:color w:val="auto"/>
        </w:rPr>
        <w:fldChar w:fldCharType="begin"/>
      </w:r>
      <w:r>
        <w:rPr>
          <w:color w:val="auto"/>
        </w:rPr>
        <w:instrText xml:space="preserve"> HYPERLINK "http://www.junxinzbgs.com/download/showdownload.php?lang=cn&amp;id=18" \o "最终（第二次）报价表" </w:instrText>
      </w:r>
      <w:r>
        <w:rPr>
          <w:rFonts w:hint="eastAsia"/>
          <w:color w:val="auto"/>
        </w:rPr>
        <w:fldChar w:fldCharType="separate"/>
      </w:r>
      <w:r>
        <w:rPr>
          <w:rStyle w:val="53"/>
          <w:rFonts w:hint="eastAsia" w:ascii="宋体" w:hAnsi="宋体" w:cs="宋体"/>
          <w:bCs/>
          <w:color w:val="auto"/>
          <w:szCs w:val="21"/>
          <w:u w:val="none"/>
        </w:rPr>
        <w:t>最终承诺报价书</w:t>
      </w:r>
      <w:r>
        <w:rPr>
          <w:rStyle w:val="53"/>
          <w:rFonts w:hint="eastAsia" w:ascii="宋体" w:hAnsi="宋体" w:cs="宋体"/>
          <w:bCs/>
          <w:color w:val="auto"/>
          <w:szCs w:val="21"/>
          <w:u w:val="none"/>
        </w:rPr>
        <w:fldChar w:fldCharType="end"/>
      </w:r>
      <w:r>
        <w:rPr>
          <w:rFonts w:hint="eastAsia" w:ascii="宋体" w:hAnsi="宋体" w:cs="宋体"/>
          <w:bCs/>
          <w:color w:val="auto"/>
          <w:szCs w:val="21"/>
          <w:lang w:bidi="ar"/>
        </w:rPr>
        <w:t>”须</w:t>
      </w:r>
      <w:r>
        <w:rPr>
          <w:rFonts w:hint="eastAsia" w:ascii="宋体" w:hAnsi="宋体" w:cs="宋体"/>
          <w:b/>
          <w:color w:val="auto"/>
          <w:szCs w:val="21"/>
          <w:lang w:bidi="ar"/>
        </w:rPr>
        <w:t>单独密封包装</w:t>
      </w:r>
      <w:r>
        <w:rPr>
          <w:rFonts w:hint="eastAsia" w:ascii="宋体" w:hAnsi="宋体" w:cs="宋体"/>
          <w:bCs/>
          <w:color w:val="auto"/>
          <w:szCs w:val="21"/>
          <w:lang w:bidi="ar"/>
        </w:rPr>
        <w:t>，封面参照上述封面格式。）</w:t>
      </w:r>
    </w:p>
    <w:p w14:paraId="7FBE722C">
      <w:pPr>
        <w:pageBreakBefore w:val="0"/>
        <w:kinsoku/>
        <w:wordWrap w:val="0"/>
        <w:overflowPunct/>
        <w:topLinePunct/>
        <w:autoSpaceDE w:val="0"/>
        <w:autoSpaceDN/>
        <w:bidi w:val="0"/>
        <w:adjustRightInd/>
        <w:spacing w:line="500" w:lineRule="exact"/>
        <w:ind w:firstLine="738" w:firstLineChars="350"/>
        <w:textAlignment w:val="auto"/>
        <w:rPr>
          <w:rFonts w:ascii="宋体" w:hAnsi="宋体"/>
          <w:b/>
          <w:color w:val="auto"/>
          <w:szCs w:val="24"/>
        </w:rPr>
      </w:pPr>
      <w:r>
        <w:rPr>
          <w:rFonts w:hint="eastAsia" w:ascii="宋体" w:hAnsi="宋体" w:cs="宋体"/>
          <w:b/>
          <w:color w:val="auto"/>
          <w:szCs w:val="21"/>
          <w:lang w:bidi="ar"/>
        </w:rPr>
        <w:t>邮寄地址：韶关市浈江区金汇大道88号鑫金汇建材家居广场条铺二街2栋1楼125号（韶关市君信招标代理有限公司）</w:t>
      </w:r>
    </w:p>
    <w:p w14:paraId="7341B2D8">
      <w:pPr>
        <w:pageBreakBefore w:val="0"/>
        <w:kinsoku/>
        <w:wordWrap w:val="0"/>
        <w:overflowPunct/>
        <w:topLinePunct/>
        <w:autoSpaceDE w:val="0"/>
        <w:autoSpaceDN/>
        <w:bidi w:val="0"/>
        <w:adjustRightInd/>
        <w:spacing w:line="500" w:lineRule="exact"/>
        <w:ind w:firstLine="738" w:firstLineChars="350"/>
        <w:textAlignment w:val="auto"/>
        <w:rPr>
          <w:rFonts w:ascii="宋体" w:hAnsi="宋体" w:cs="宋体"/>
          <w:b/>
          <w:color w:val="auto"/>
          <w:szCs w:val="21"/>
          <w:lang w:bidi="ar"/>
        </w:rPr>
      </w:pPr>
      <w:r>
        <w:rPr>
          <w:rFonts w:hint="eastAsia" w:ascii="宋体" w:hAnsi="宋体" w:cs="宋体"/>
          <w:b/>
          <w:color w:val="auto"/>
          <w:szCs w:val="21"/>
          <w:lang w:bidi="ar"/>
        </w:rPr>
        <w:t>联系人：叶小姐</w:t>
      </w:r>
    </w:p>
    <w:p w14:paraId="40ED705B">
      <w:pPr>
        <w:pageBreakBefore w:val="0"/>
        <w:kinsoku/>
        <w:wordWrap w:val="0"/>
        <w:overflowPunct/>
        <w:topLinePunct/>
        <w:autoSpaceDE w:val="0"/>
        <w:autoSpaceDN/>
        <w:bidi w:val="0"/>
        <w:adjustRightInd/>
        <w:spacing w:line="500" w:lineRule="exact"/>
        <w:ind w:firstLine="738" w:firstLineChars="350"/>
        <w:textAlignment w:val="auto"/>
        <w:rPr>
          <w:rFonts w:ascii="宋体" w:hAnsi="宋体" w:cs="宋体"/>
          <w:color w:val="auto"/>
          <w:szCs w:val="21"/>
        </w:rPr>
      </w:pPr>
      <w:r>
        <w:rPr>
          <w:rFonts w:hint="eastAsia" w:ascii="宋体" w:hAnsi="宋体" w:cs="宋体"/>
          <w:b/>
          <w:color w:val="auto"/>
          <w:szCs w:val="21"/>
          <w:lang w:bidi="ar"/>
        </w:rPr>
        <w:t>联系电话：0751-8888552</w:t>
      </w:r>
    </w:p>
    <w:p w14:paraId="7E48FE8C">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color w:val="auto"/>
          <w:szCs w:val="21"/>
        </w:rPr>
      </w:pPr>
      <w:r>
        <w:rPr>
          <w:rFonts w:hint="eastAsia" w:ascii="宋体" w:hAnsi="宋体" w:eastAsia="宋体" w:cs="宋体"/>
          <w:b w:val="0"/>
          <w:i w:val="0"/>
          <w:color w:val="auto"/>
          <w:kern w:val="2"/>
          <w:sz w:val="21"/>
          <w:szCs w:val="21"/>
          <w:lang w:val="en-US" w:eastAsia="zh-CN" w:bidi="ar-SA"/>
        </w:rPr>
        <w:t>3.5.6.</w:t>
      </w:r>
      <w:r>
        <w:rPr>
          <w:rFonts w:hint="eastAsia" w:ascii="宋体" w:hAnsi="宋体" w:cs="宋体"/>
          <w:color w:val="auto"/>
          <w:szCs w:val="21"/>
        </w:rPr>
        <w:t>所有响应文件应在投标截止时间前送达开标指定地点，交予采购代理机构专职负责人,任何迟于截止时间的投标将被拒绝，以及响应文件未按要求提交齐全或未装订成册或没有封装的将被拒绝</w:t>
      </w:r>
    </w:p>
    <w:p w14:paraId="64442238">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color w:val="auto"/>
        </w:rPr>
      </w:pPr>
      <w:r>
        <w:rPr>
          <w:rFonts w:hint="eastAsia" w:ascii="宋体" w:hAnsi="宋体" w:eastAsia="宋体" w:cs="宋体"/>
          <w:b w:val="0"/>
          <w:i w:val="0"/>
          <w:color w:val="auto"/>
          <w:kern w:val="2"/>
          <w:sz w:val="21"/>
          <w:szCs w:val="21"/>
          <w:lang w:val="en-US" w:eastAsia="zh-CN" w:bidi="ar-SA"/>
        </w:rPr>
        <w:t>3.5.7.</w:t>
      </w:r>
      <w:r>
        <w:rPr>
          <w:rFonts w:hint="eastAsia" w:ascii="宋体" w:hAnsi="宋体" w:cs="宋体"/>
          <w:color w:val="auto"/>
          <w:szCs w:val="21"/>
        </w:rPr>
        <w:t>采购代理机构不接受电报、电话、电传、传真的响应文件。</w:t>
      </w:r>
    </w:p>
    <w:p w14:paraId="17860096">
      <w:pPr>
        <w:pageBreakBefore w:val="0"/>
        <w:numPr>
          <w:ilvl w:val="2"/>
          <w:numId w:val="0"/>
        </w:numPr>
        <w:tabs>
          <w:tab w:val="left" w:pos="720"/>
        </w:tabs>
        <w:kinsoku/>
        <w:overflowPunct/>
        <w:autoSpaceDN/>
        <w:bidi w:val="0"/>
        <w:adjustRightInd/>
        <w:spacing w:line="500" w:lineRule="exact"/>
        <w:ind w:left="720" w:leftChars="0" w:hanging="720" w:firstLineChars="0"/>
        <w:textAlignment w:val="auto"/>
        <w:rPr>
          <w:rFonts w:ascii="宋体" w:hAnsi="宋体" w:cs="宋体"/>
          <w:color w:val="auto"/>
        </w:rPr>
      </w:pPr>
      <w:r>
        <w:rPr>
          <w:rFonts w:hint="eastAsia" w:ascii="宋体" w:hAnsi="宋体" w:eastAsia="宋体" w:cs="宋体"/>
          <w:b w:val="0"/>
          <w:i w:val="0"/>
          <w:color w:val="auto"/>
          <w:kern w:val="2"/>
          <w:sz w:val="21"/>
          <w:szCs w:val="21"/>
          <w:lang w:val="en-US" w:eastAsia="zh-CN" w:bidi="ar-SA"/>
        </w:rPr>
        <w:t>3.5.8.</w:t>
      </w:r>
      <w:r>
        <w:rPr>
          <w:rFonts w:hint="eastAsia" w:ascii="宋体" w:hAnsi="宋体" w:cs="宋体"/>
          <w:color w:val="auto"/>
          <w:szCs w:val="21"/>
        </w:rPr>
        <w:t>响应文件应按上述要求提供齐全并封装，响应文件提供不齐全或未按要求装订成册的将会作为符合性审查不合格处理。</w:t>
      </w:r>
    </w:p>
    <w:p w14:paraId="30B5A2DA">
      <w:pPr>
        <w:pStyle w:val="58"/>
        <w:pageBreakBefore w:val="0"/>
        <w:kinsoku/>
        <w:overflowPunct/>
        <w:autoSpaceDN/>
        <w:bidi w:val="0"/>
        <w:adjustRightInd/>
        <w:spacing w:line="500" w:lineRule="exact"/>
        <w:ind w:firstLine="0"/>
        <w:textAlignment w:val="auto"/>
        <w:rPr>
          <w:rFonts w:cs="宋体"/>
          <w:color w:val="auto"/>
          <w:szCs w:val="21"/>
        </w:rPr>
      </w:pPr>
    </w:p>
    <w:p w14:paraId="32332977">
      <w:pPr>
        <w:pageBreakBefore w:val="0"/>
        <w:numPr>
          <w:ilvl w:val="1"/>
          <w:numId w:val="0"/>
        </w:numPr>
        <w:kinsoku/>
        <w:overflowPunct/>
        <w:autoSpaceDN/>
        <w:bidi w:val="0"/>
        <w:adjustRightInd/>
        <w:spacing w:line="500" w:lineRule="exact"/>
        <w:ind w:left="567" w:leftChars="0" w:hanging="567" w:firstLineChars="0"/>
        <w:textAlignment w:val="auto"/>
        <w:rPr>
          <w:rFonts w:ascii="宋体" w:hAnsi="宋体" w:cs="宋体"/>
          <w:b/>
          <w:bCs/>
          <w:color w:val="auto"/>
          <w:szCs w:val="21"/>
        </w:rPr>
      </w:pPr>
      <w:r>
        <w:rPr>
          <w:rFonts w:hint="eastAsia" w:ascii="宋体" w:hAnsi="宋体" w:eastAsia="宋体" w:cs="宋体"/>
          <w:b/>
          <w:bCs/>
          <w:i w:val="0"/>
          <w:color w:val="auto"/>
          <w:kern w:val="2"/>
          <w:sz w:val="21"/>
          <w:szCs w:val="21"/>
          <w:lang w:val="en-US" w:eastAsia="zh-CN" w:bidi="ar-SA"/>
        </w:rPr>
        <w:t>3.6.</w:t>
      </w:r>
      <w:r>
        <w:rPr>
          <w:rFonts w:hint="eastAsia" w:ascii="宋体" w:hAnsi="宋体" w:cs="宋体"/>
          <w:b/>
          <w:bCs/>
          <w:color w:val="auto"/>
          <w:szCs w:val="21"/>
          <w:lang w:val="en-US" w:eastAsia="zh-CN"/>
        </w:rPr>
        <w:t>响应</w:t>
      </w:r>
      <w:r>
        <w:rPr>
          <w:rFonts w:hint="eastAsia" w:ascii="宋体" w:hAnsi="宋体" w:cs="宋体"/>
          <w:b/>
          <w:bCs/>
          <w:color w:val="auto"/>
          <w:szCs w:val="21"/>
        </w:rPr>
        <w:t>有效期</w:t>
      </w:r>
    </w:p>
    <w:p w14:paraId="4405E3FF">
      <w:pPr>
        <w:pageBreakBefore w:val="0"/>
        <w:kinsoku/>
        <w:overflowPunct/>
        <w:autoSpaceDN/>
        <w:bidi w:val="0"/>
        <w:adjustRightInd/>
        <w:spacing w:line="500" w:lineRule="exact"/>
        <w:textAlignment w:val="auto"/>
        <w:rPr>
          <w:rFonts w:ascii="宋体" w:hAnsi="宋体" w:cs="宋体"/>
          <w:color w:val="auto"/>
          <w:szCs w:val="21"/>
        </w:rPr>
      </w:pPr>
      <w:r>
        <w:rPr>
          <w:rFonts w:hint="eastAsia" w:ascii="宋体" w:hAnsi="宋体" w:cs="宋体"/>
          <w:color w:val="auto"/>
          <w:szCs w:val="21"/>
        </w:rPr>
        <w:t xml:space="preserve">    从</w:t>
      </w:r>
      <w:r>
        <w:rPr>
          <w:rFonts w:hint="eastAsia" w:ascii="宋体" w:hAnsi="宋体" w:cs="宋体"/>
          <w:color w:val="auto"/>
          <w:szCs w:val="21"/>
          <w:lang w:val="en-US" w:eastAsia="zh-CN"/>
        </w:rPr>
        <w:t>响应</w:t>
      </w:r>
      <w:r>
        <w:rPr>
          <w:rFonts w:hint="eastAsia" w:ascii="宋体" w:hAnsi="宋体" w:cs="宋体"/>
          <w:color w:val="auto"/>
          <w:szCs w:val="21"/>
        </w:rPr>
        <w:t>截止日起，</w:t>
      </w:r>
      <w:r>
        <w:rPr>
          <w:rFonts w:hint="eastAsia" w:ascii="宋体" w:hAnsi="宋体" w:cs="宋体"/>
          <w:b w:val="0"/>
          <w:bCs w:val="0"/>
          <w:color w:val="auto"/>
          <w:szCs w:val="21"/>
          <w:lang w:val="en-US" w:eastAsia="zh-CN"/>
        </w:rPr>
        <w:t>响应</w:t>
      </w:r>
      <w:r>
        <w:rPr>
          <w:rFonts w:hint="eastAsia" w:ascii="宋体" w:hAnsi="宋体" w:cs="宋体"/>
          <w:b w:val="0"/>
          <w:bCs w:val="0"/>
          <w:color w:val="auto"/>
          <w:szCs w:val="21"/>
        </w:rPr>
        <w:t>有</w:t>
      </w:r>
      <w:r>
        <w:rPr>
          <w:rFonts w:hint="eastAsia" w:ascii="宋体" w:hAnsi="宋体" w:cs="宋体"/>
          <w:color w:val="auto"/>
          <w:szCs w:val="21"/>
        </w:rPr>
        <w:t>效期为90天。在特殊情况下，采购代理机构可于</w:t>
      </w:r>
      <w:r>
        <w:rPr>
          <w:rFonts w:hint="eastAsia" w:ascii="宋体" w:hAnsi="宋体" w:cs="宋体"/>
          <w:b w:val="0"/>
          <w:bCs w:val="0"/>
          <w:color w:val="auto"/>
          <w:szCs w:val="21"/>
          <w:lang w:val="en-US" w:eastAsia="zh-CN"/>
        </w:rPr>
        <w:t>响应</w:t>
      </w:r>
      <w:r>
        <w:rPr>
          <w:rFonts w:hint="eastAsia" w:ascii="宋体" w:hAnsi="宋体" w:cs="宋体"/>
          <w:color w:val="auto"/>
          <w:szCs w:val="21"/>
        </w:rPr>
        <w:t>有效期满之前要求供应商同意延长有效期，要求与答复均应以书面形式。供应商可以拒绝上述要求而其保证金不被没收，同意延期的供应商根据原截止期所享有的权利及其所负有的义务相应也延至新的截止期。</w:t>
      </w:r>
    </w:p>
    <w:p w14:paraId="732B9542">
      <w:pPr>
        <w:pStyle w:val="4"/>
        <w:pageBreakBefore w:val="0"/>
        <w:numPr>
          <w:ilvl w:val="0"/>
          <w:numId w:val="0"/>
        </w:numPr>
        <w:kinsoku/>
        <w:overflowPunct/>
        <w:autoSpaceDE/>
        <w:autoSpaceDN/>
        <w:bidi w:val="0"/>
        <w:adjustRightInd/>
        <w:snapToGrid/>
        <w:spacing w:before="260" w:line="500" w:lineRule="exact"/>
        <w:ind w:left="425" w:leftChars="0" w:hanging="425" w:firstLineChars="0"/>
        <w:textAlignment w:val="auto"/>
        <w:rPr>
          <w:rFonts w:cs="宋体"/>
          <w:color w:val="auto"/>
          <w:sz w:val="21"/>
          <w:szCs w:val="21"/>
        </w:rPr>
      </w:pPr>
      <w:r>
        <w:rPr>
          <w:rFonts w:hint="eastAsia" w:ascii="宋体" w:hAnsi="宋体" w:eastAsia="宋体" w:cs="宋体"/>
          <w:b/>
          <w:i w:val="0"/>
          <w:color w:val="auto"/>
          <w:kern w:val="2"/>
          <w:sz w:val="21"/>
          <w:szCs w:val="21"/>
          <w:lang w:val="en-US" w:eastAsia="zh-CN" w:bidi="ar-SA"/>
        </w:rPr>
        <w:t>4.</w:t>
      </w:r>
      <w:r>
        <w:rPr>
          <w:rFonts w:hint="eastAsia" w:cs="宋体"/>
          <w:color w:val="auto"/>
          <w:sz w:val="21"/>
          <w:szCs w:val="21"/>
        </w:rPr>
        <w:t>磋商、成交与签约</w:t>
      </w:r>
    </w:p>
    <w:p w14:paraId="65EA25D6">
      <w:pPr>
        <w:pageBreakBefore w:val="0"/>
        <w:kinsoku/>
        <w:overflowPunct/>
        <w:autoSpaceDN/>
        <w:bidi w:val="0"/>
        <w:adjustRightInd/>
        <w:spacing w:line="500" w:lineRule="exact"/>
        <w:textAlignment w:val="auto"/>
        <w:rPr>
          <w:rFonts w:ascii="宋体" w:hAnsi="宋体" w:cs="宋体"/>
          <w:b/>
          <w:bCs/>
          <w:color w:val="auto"/>
          <w:szCs w:val="21"/>
        </w:rPr>
      </w:pPr>
      <w:r>
        <w:rPr>
          <w:rFonts w:hint="eastAsia" w:ascii="宋体" w:hAnsi="宋体" w:cs="宋体"/>
          <w:b/>
          <w:bCs/>
          <w:color w:val="auto"/>
          <w:szCs w:val="21"/>
        </w:rPr>
        <w:t>4.1.磋商</w:t>
      </w:r>
    </w:p>
    <w:p w14:paraId="6B6CE83A">
      <w:pPr>
        <w:pageBreakBefore w:val="0"/>
        <w:tabs>
          <w:tab w:val="left" w:pos="624"/>
          <w:tab w:val="left" w:pos="720"/>
        </w:tabs>
        <w:kinsoku/>
        <w:overflowPunct/>
        <w:autoSpaceDN/>
        <w:bidi w:val="0"/>
        <w:adjustRightInd/>
        <w:spacing w:line="500" w:lineRule="exact"/>
        <w:textAlignment w:val="auto"/>
        <w:rPr>
          <w:rFonts w:ascii="宋体" w:hAnsi="宋体" w:cs="宋体"/>
          <w:color w:val="auto"/>
          <w:szCs w:val="21"/>
        </w:rPr>
      </w:pPr>
      <w:r>
        <w:rPr>
          <w:rFonts w:hint="eastAsia" w:ascii="宋体" w:hAnsi="宋体" w:cs="宋体"/>
          <w:color w:val="auto"/>
          <w:szCs w:val="21"/>
        </w:rPr>
        <w:t>详见《第四章 磋商细则》</w:t>
      </w:r>
    </w:p>
    <w:p w14:paraId="26697B0E">
      <w:pPr>
        <w:pageBreakBefore w:val="0"/>
        <w:tabs>
          <w:tab w:val="left" w:pos="425"/>
          <w:tab w:val="left" w:pos="567"/>
        </w:tabs>
        <w:kinsoku/>
        <w:overflowPunct/>
        <w:autoSpaceDN/>
        <w:bidi w:val="0"/>
        <w:adjustRightInd/>
        <w:spacing w:line="500" w:lineRule="exact"/>
        <w:textAlignment w:val="auto"/>
        <w:rPr>
          <w:rFonts w:ascii="宋体" w:hAnsi="宋体" w:cs="宋体"/>
          <w:b/>
          <w:bCs/>
          <w:color w:val="auto"/>
          <w:szCs w:val="21"/>
        </w:rPr>
      </w:pPr>
      <w:r>
        <w:rPr>
          <w:rFonts w:hint="eastAsia" w:ascii="宋体" w:hAnsi="宋体" w:cs="宋体"/>
          <w:b/>
          <w:bCs/>
          <w:color w:val="auto"/>
          <w:szCs w:val="21"/>
        </w:rPr>
        <w:t>4.2.定标与签约</w:t>
      </w:r>
    </w:p>
    <w:p w14:paraId="2EE58389">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bookmarkStart w:id="42" w:name="_Toc56938702"/>
      <w:bookmarkStart w:id="43" w:name="_Toc56855622"/>
      <w:bookmarkStart w:id="44" w:name="_Toc56855654"/>
      <w:r>
        <w:rPr>
          <w:rFonts w:hint="eastAsia" w:ascii="宋体" w:hAnsi="宋体" w:cs="宋体"/>
          <w:color w:val="auto"/>
          <w:szCs w:val="21"/>
        </w:rPr>
        <w:t>4.1.1.评审结果确定后，如有需要，采购代理机构应通知评委会推荐的成交供应商候选人在2个工作日内，按响应文件中所列的相关证件、证明文件、合同的原件送采购人核对与供应商响应文件中的复印件是否一致。采购人在接到原件之日起3个工作日内，核对没有不一致的，须确认成交的供应商；核对发现有不一致或供应商无正当理由不按时提供原件的，书面向采购代理机构提出，并报同级财政部门核实后按无效投标处理。</w:t>
      </w:r>
    </w:p>
    <w:p w14:paraId="2B89613F">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4.1.2.采购人确认结果后，采购代理机构将成交结果以网上公告的方式通知所有未成交的供应商，并向成交供应商候选人发出《成交通知书》。</w:t>
      </w:r>
    </w:p>
    <w:p w14:paraId="5FEDD186">
      <w:pPr>
        <w:pageBreakBefore w:val="0"/>
        <w:tabs>
          <w:tab w:val="left" w:pos="425"/>
          <w:tab w:val="left" w:pos="624"/>
          <w:tab w:val="left" w:pos="735"/>
        </w:tabs>
        <w:kinsoku/>
        <w:overflowPunct/>
        <w:autoSpaceDN/>
        <w:bidi w:val="0"/>
        <w:adjustRightInd/>
        <w:spacing w:line="500" w:lineRule="exact"/>
        <w:textAlignment w:val="auto"/>
        <w:rPr>
          <w:rFonts w:ascii="宋体" w:hAnsi="宋体" w:cs="宋体"/>
          <w:color w:val="auto"/>
          <w:szCs w:val="21"/>
        </w:rPr>
      </w:pPr>
      <w:r>
        <w:rPr>
          <w:rFonts w:hint="eastAsia" w:ascii="宋体" w:hAnsi="宋体" w:cs="宋体"/>
          <w:color w:val="auto"/>
          <w:szCs w:val="21"/>
        </w:rPr>
        <w:t>4.1.3.成交供应商应在规定时间内与采购人签订合同。</w:t>
      </w:r>
    </w:p>
    <w:p w14:paraId="0350FB93">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4.1.4.</w:t>
      </w:r>
      <w:r>
        <w:rPr>
          <w:rFonts w:hint="eastAsia" w:ascii="宋体" w:hAnsi="宋体" w:cs="宋体"/>
          <w:color w:val="auto"/>
          <w:spacing w:val="-2"/>
          <w:szCs w:val="21"/>
        </w:rPr>
        <w:t>在订定合同过程中，如发现成交供应商候选人以他人名义</w:t>
      </w:r>
      <w:r>
        <w:rPr>
          <w:rFonts w:hint="eastAsia" w:ascii="宋体" w:hAnsi="宋体" w:cs="宋体"/>
          <w:color w:val="auto"/>
          <w:szCs w:val="21"/>
        </w:rPr>
        <w:t>投标</w:t>
      </w:r>
      <w:r>
        <w:rPr>
          <w:rFonts w:hint="eastAsia" w:ascii="宋体" w:hAnsi="宋体" w:cs="宋体"/>
          <w:color w:val="auto"/>
          <w:spacing w:val="-2"/>
          <w:szCs w:val="21"/>
        </w:rPr>
        <w:t>或者以其他方式弄虚作假，骗取成交的，采购人有权取消其成交资格，并将第二成交供应商候选人确定为成交供应商候选人，依此类推。</w:t>
      </w:r>
    </w:p>
    <w:p w14:paraId="0B55553D">
      <w:pPr>
        <w:pStyle w:val="4"/>
        <w:pageBreakBefore w:val="0"/>
        <w:numPr>
          <w:ilvl w:val="0"/>
          <w:numId w:val="0"/>
        </w:numPr>
        <w:kinsoku/>
        <w:overflowPunct/>
        <w:autoSpaceDE/>
        <w:autoSpaceDN/>
        <w:bidi w:val="0"/>
        <w:adjustRightInd/>
        <w:snapToGrid/>
        <w:spacing w:before="260" w:line="500" w:lineRule="exact"/>
        <w:ind w:left="425" w:leftChars="0" w:hanging="425" w:firstLineChars="0"/>
        <w:textAlignment w:val="auto"/>
        <w:rPr>
          <w:rFonts w:cs="宋体"/>
          <w:color w:val="auto"/>
          <w:sz w:val="21"/>
          <w:szCs w:val="21"/>
        </w:rPr>
      </w:pPr>
      <w:r>
        <w:rPr>
          <w:rFonts w:hint="eastAsia" w:ascii="宋体" w:hAnsi="宋体" w:eastAsia="宋体" w:cs="宋体"/>
          <w:b/>
          <w:i w:val="0"/>
          <w:color w:val="auto"/>
          <w:kern w:val="2"/>
          <w:sz w:val="21"/>
          <w:szCs w:val="21"/>
          <w:lang w:val="en-US" w:eastAsia="zh-CN" w:bidi="ar-SA"/>
        </w:rPr>
        <w:t>5.</w:t>
      </w:r>
      <w:r>
        <w:rPr>
          <w:rFonts w:hint="eastAsia" w:cs="宋体"/>
          <w:color w:val="auto"/>
          <w:sz w:val="21"/>
          <w:szCs w:val="21"/>
        </w:rPr>
        <w:t>招标服务费</w:t>
      </w:r>
      <w:bookmarkEnd w:id="42"/>
      <w:bookmarkEnd w:id="43"/>
      <w:bookmarkEnd w:id="44"/>
    </w:p>
    <w:p w14:paraId="52214E1F">
      <w:pPr>
        <w:pageBreakBefore w:val="0"/>
        <w:kinsoku/>
        <w:overflowPunct/>
        <w:autoSpaceDN/>
        <w:bidi w:val="0"/>
        <w:adjustRightInd/>
        <w:spacing w:before="50" w:after="50" w:line="5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cs="宋体"/>
          <w:color w:val="auto"/>
          <w:szCs w:val="21"/>
        </w:rPr>
        <w:t>成交供应商须向采购代理机构交纳招标服务费，收费标准</w:t>
      </w:r>
      <w:r>
        <w:t>参照中华人民共和国国家计划发展委员会颁布的《招标代理服务收费管理暂行办法》（计价格[2002]1980号）、发改办价格〔2003〕857号及发改价格〔2011〕534号文规定的执行</w:t>
      </w:r>
      <w:r>
        <w:rPr>
          <w:rFonts w:hint="eastAsia"/>
          <w:lang w:eastAsia="zh-CN"/>
        </w:rPr>
        <w:t>。</w:t>
      </w:r>
    </w:p>
    <w:p w14:paraId="46053196">
      <w:pPr>
        <w:pageBreakBefore w:val="0"/>
        <w:tabs>
          <w:tab w:val="left" w:pos="1182"/>
        </w:tabs>
        <w:kinsoku/>
        <w:overflowPunct/>
        <w:autoSpaceDN/>
        <w:bidi w:val="0"/>
        <w:adjustRightInd/>
        <w:spacing w:line="500" w:lineRule="exact"/>
        <w:ind w:right="-317" w:rightChars="-151"/>
        <w:textAlignment w:val="auto"/>
        <w:rPr>
          <w:rFonts w:ascii="宋体" w:hAnsi="宋体" w:cs="宋体"/>
          <w:bCs/>
          <w:color w:val="auto"/>
          <w:spacing w:val="-4"/>
          <w:szCs w:val="21"/>
        </w:rPr>
      </w:pPr>
      <w:r>
        <w:rPr>
          <w:rFonts w:hint="eastAsia" w:ascii="宋体" w:hAnsi="宋体" w:cs="宋体"/>
          <w:bCs/>
          <w:color w:val="auto"/>
          <w:spacing w:val="-4"/>
          <w:szCs w:val="21"/>
        </w:rPr>
        <w:t>5.1.</w:t>
      </w:r>
      <w:r>
        <w:rPr>
          <w:rFonts w:hint="eastAsia" w:ascii="宋体" w:hAnsi="宋体" w:cs="宋体"/>
          <w:b/>
          <w:bCs/>
          <w:color w:val="auto"/>
          <w:szCs w:val="21"/>
        </w:rPr>
        <w:t>招标服务费按</w:t>
      </w:r>
      <w:r>
        <w:rPr>
          <w:rFonts w:hint="eastAsia" w:ascii="宋体" w:hAnsi="宋体" w:cs="宋体"/>
          <w:b/>
          <w:bCs/>
          <w:color w:val="auto"/>
          <w:szCs w:val="21"/>
          <w:lang w:val="en-US" w:eastAsia="zh-CN"/>
        </w:rPr>
        <w:t>预算</w:t>
      </w:r>
      <w:r>
        <w:rPr>
          <w:rFonts w:hint="eastAsia" w:ascii="宋体" w:hAnsi="宋体" w:cs="宋体"/>
          <w:b/>
          <w:bCs/>
          <w:color w:val="auto"/>
          <w:szCs w:val="21"/>
        </w:rPr>
        <w:t>金额作为计算基数，</w:t>
      </w:r>
      <w:r>
        <w:rPr>
          <w:rFonts w:hint="eastAsia" w:ascii="宋体" w:hAnsi="宋体" w:cs="宋体"/>
          <w:bCs/>
          <w:color w:val="auto"/>
          <w:spacing w:val="-4"/>
          <w:szCs w:val="21"/>
        </w:rPr>
        <w:t>按差额定率累进法计算。</w:t>
      </w:r>
    </w:p>
    <w:p w14:paraId="2737800B">
      <w:pPr>
        <w:pageBreakBefore w:val="0"/>
        <w:tabs>
          <w:tab w:val="left" w:pos="425"/>
          <w:tab w:val="left" w:pos="624"/>
          <w:tab w:val="left" w:pos="735"/>
        </w:tabs>
        <w:kinsoku/>
        <w:overflowPunct/>
        <w:autoSpaceDN/>
        <w:bidi w:val="0"/>
        <w:adjustRightInd/>
        <w:spacing w:line="500" w:lineRule="exact"/>
        <w:ind w:left="606" w:hanging="606" w:hangingChars="300"/>
        <w:textAlignment w:val="auto"/>
        <w:rPr>
          <w:rFonts w:ascii="宋体" w:hAnsi="宋体" w:cs="宋体"/>
          <w:color w:val="auto"/>
          <w:szCs w:val="21"/>
        </w:rPr>
      </w:pPr>
      <w:r>
        <w:rPr>
          <w:rFonts w:hint="eastAsia" w:ascii="宋体" w:hAnsi="宋体" w:cs="宋体"/>
          <w:bCs/>
          <w:color w:val="auto"/>
          <w:spacing w:val="-4"/>
          <w:szCs w:val="21"/>
        </w:rPr>
        <w:t>5.2. 成交金额的各部分费率如下表，</w:t>
      </w:r>
      <w:r>
        <w:rPr>
          <w:rFonts w:hint="eastAsia" w:ascii="宋体" w:hAnsi="宋体" w:cs="宋体"/>
          <w:color w:val="auto"/>
          <w:szCs w:val="21"/>
        </w:rPr>
        <w:t>本项目类型为</w:t>
      </w:r>
      <w:r>
        <w:rPr>
          <w:rFonts w:hint="eastAsia" w:ascii="宋体" w:hAnsi="宋体" w:cs="宋体"/>
          <w:b/>
          <w:bCs/>
          <w:color w:val="auto"/>
          <w:szCs w:val="21"/>
        </w:rPr>
        <w:t>服务类</w:t>
      </w:r>
      <w:r>
        <w:rPr>
          <w:rFonts w:hint="eastAsia" w:ascii="宋体" w:hAnsi="宋体" w:cs="宋体"/>
          <w:color w:val="auto"/>
          <w:szCs w:val="21"/>
        </w:rPr>
        <w:t>：</w:t>
      </w:r>
    </w:p>
    <w:tbl>
      <w:tblPr>
        <w:tblStyle w:val="46"/>
        <w:tblW w:w="7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1753"/>
        <w:gridCol w:w="1753"/>
        <w:gridCol w:w="1753"/>
      </w:tblGrid>
      <w:tr w14:paraId="15B4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738" w:type="dxa"/>
            <w:vAlign w:val="center"/>
          </w:tcPr>
          <w:p w14:paraId="64D79B0C">
            <w:pPr>
              <w:pageBreakBefore w:val="0"/>
              <w:kinsoku/>
              <w:overflowPunct/>
              <w:autoSpaceDN/>
              <w:bidi w:val="0"/>
              <w:adjustRightInd/>
              <w:spacing w:before="50" w:after="50" w:line="500" w:lineRule="exact"/>
              <w:jc w:val="center"/>
              <w:textAlignment w:val="auto"/>
              <w:rPr>
                <w:rFonts w:ascii="宋体" w:hAnsi="宋体" w:cs="宋体"/>
                <w:color w:val="auto"/>
                <w:kern w:val="0"/>
                <w:szCs w:val="21"/>
              </w:rPr>
            </w:pPr>
            <w:r>
              <w:rPr>
                <w:rFonts w:hint="eastAsia" w:ascii="宋体" w:hAnsi="宋体" w:cs="宋体"/>
                <w:color w:val="auto"/>
                <w:kern w:val="0"/>
                <w:szCs w:val="21"/>
              </w:rPr>
              <w:t>成交金额（万元人民币）</w:t>
            </w:r>
          </w:p>
        </w:tc>
        <w:tc>
          <w:tcPr>
            <w:tcW w:w="1753" w:type="dxa"/>
            <w:vAlign w:val="center"/>
          </w:tcPr>
          <w:p w14:paraId="6691F6AC">
            <w:pPr>
              <w:pageBreakBefore w:val="0"/>
              <w:kinsoku/>
              <w:overflowPunct/>
              <w:autoSpaceDN/>
              <w:bidi w:val="0"/>
              <w:adjustRightInd/>
              <w:spacing w:before="50" w:after="50" w:line="500" w:lineRule="exact"/>
              <w:jc w:val="center"/>
              <w:textAlignment w:val="auto"/>
              <w:rPr>
                <w:rFonts w:ascii="宋体" w:hAnsi="宋体" w:cs="宋体"/>
                <w:color w:val="auto"/>
                <w:kern w:val="0"/>
                <w:szCs w:val="21"/>
              </w:rPr>
            </w:pPr>
            <w:r>
              <w:rPr>
                <w:rFonts w:hint="eastAsia" w:ascii="宋体" w:hAnsi="宋体" w:cs="宋体"/>
                <w:color w:val="auto"/>
                <w:kern w:val="0"/>
                <w:szCs w:val="21"/>
              </w:rPr>
              <w:t>货物招标费率</w:t>
            </w:r>
          </w:p>
        </w:tc>
        <w:tc>
          <w:tcPr>
            <w:tcW w:w="1753" w:type="dxa"/>
            <w:vAlign w:val="center"/>
          </w:tcPr>
          <w:p w14:paraId="2791671C">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szCs w:val="21"/>
              </w:rPr>
              <w:t>服务招标费率</w:t>
            </w:r>
          </w:p>
        </w:tc>
        <w:tc>
          <w:tcPr>
            <w:tcW w:w="1753" w:type="dxa"/>
            <w:vAlign w:val="center"/>
          </w:tcPr>
          <w:p w14:paraId="28F31530">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szCs w:val="21"/>
              </w:rPr>
              <w:t>工程招标费率</w:t>
            </w:r>
          </w:p>
        </w:tc>
      </w:tr>
      <w:tr w14:paraId="5957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38" w:type="dxa"/>
            <w:vAlign w:val="center"/>
          </w:tcPr>
          <w:p w14:paraId="69136F38">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kern w:val="0"/>
                <w:szCs w:val="21"/>
              </w:rPr>
              <w:t>100以下部分</w:t>
            </w:r>
          </w:p>
        </w:tc>
        <w:tc>
          <w:tcPr>
            <w:tcW w:w="1753" w:type="dxa"/>
            <w:vAlign w:val="center"/>
          </w:tcPr>
          <w:p w14:paraId="7E2D62EA">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kern w:val="0"/>
                <w:szCs w:val="21"/>
              </w:rPr>
              <w:t>1.5%</w:t>
            </w:r>
          </w:p>
        </w:tc>
        <w:tc>
          <w:tcPr>
            <w:tcW w:w="1753" w:type="dxa"/>
            <w:vAlign w:val="center"/>
          </w:tcPr>
          <w:p w14:paraId="22784D89">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szCs w:val="21"/>
              </w:rPr>
              <w:t>1.5%</w:t>
            </w:r>
          </w:p>
        </w:tc>
        <w:tc>
          <w:tcPr>
            <w:tcW w:w="1753" w:type="dxa"/>
            <w:vAlign w:val="center"/>
          </w:tcPr>
          <w:p w14:paraId="1F264549">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szCs w:val="21"/>
              </w:rPr>
              <w:t>1.0%</w:t>
            </w:r>
          </w:p>
        </w:tc>
      </w:tr>
      <w:tr w14:paraId="0383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38" w:type="dxa"/>
            <w:vAlign w:val="center"/>
          </w:tcPr>
          <w:p w14:paraId="1EA155A9">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kern w:val="0"/>
                <w:szCs w:val="21"/>
              </w:rPr>
              <w:t>100-500部分</w:t>
            </w:r>
          </w:p>
        </w:tc>
        <w:tc>
          <w:tcPr>
            <w:tcW w:w="1753" w:type="dxa"/>
            <w:vAlign w:val="center"/>
          </w:tcPr>
          <w:p w14:paraId="11B06C9F">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kern w:val="0"/>
                <w:szCs w:val="21"/>
              </w:rPr>
              <w:t>1.1%</w:t>
            </w:r>
          </w:p>
        </w:tc>
        <w:tc>
          <w:tcPr>
            <w:tcW w:w="1753" w:type="dxa"/>
            <w:vAlign w:val="center"/>
          </w:tcPr>
          <w:p w14:paraId="205BA97B">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szCs w:val="21"/>
              </w:rPr>
              <w:t>0.8%</w:t>
            </w:r>
          </w:p>
        </w:tc>
        <w:tc>
          <w:tcPr>
            <w:tcW w:w="1753" w:type="dxa"/>
            <w:vAlign w:val="center"/>
          </w:tcPr>
          <w:p w14:paraId="0C3BE0A8">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szCs w:val="21"/>
              </w:rPr>
              <w:t>0.7%</w:t>
            </w:r>
          </w:p>
        </w:tc>
      </w:tr>
      <w:tr w14:paraId="5C2F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38" w:type="dxa"/>
            <w:vAlign w:val="center"/>
          </w:tcPr>
          <w:p w14:paraId="1115CFEB">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kern w:val="0"/>
                <w:szCs w:val="21"/>
              </w:rPr>
              <w:t>500-1000部分</w:t>
            </w:r>
          </w:p>
        </w:tc>
        <w:tc>
          <w:tcPr>
            <w:tcW w:w="1753" w:type="dxa"/>
            <w:vAlign w:val="center"/>
          </w:tcPr>
          <w:p w14:paraId="0191EFB0">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kern w:val="0"/>
                <w:szCs w:val="21"/>
              </w:rPr>
              <w:t>0.8%</w:t>
            </w:r>
          </w:p>
        </w:tc>
        <w:tc>
          <w:tcPr>
            <w:tcW w:w="1753" w:type="dxa"/>
            <w:vAlign w:val="center"/>
          </w:tcPr>
          <w:p w14:paraId="0D16F92A">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szCs w:val="21"/>
              </w:rPr>
              <w:t>0.45%</w:t>
            </w:r>
          </w:p>
        </w:tc>
        <w:tc>
          <w:tcPr>
            <w:tcW w:w="1753" w:type="dxa"/>
            <w:vAlign w:val="center"/>
          </w:tcPr>
          <w:p w14:paraId="10D69ED1">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szCs w:val="21"/>
              </w:rPr>
              <w:t>0.55%</w:t>
            </w:r>
          </w:p>
        </w:tc>
      </w:tr>
      <w:tr w14:paraId="0381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38" w:type="dxa"/>
            <w:vAlign w:val="center"/>
          </w:tcPr>
          <w:p w14:paraId="23F85B07">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kern w:val="0"/>
                <w:szCs w:val="21"/>
              </w:rPr>
              <w:t>1000-5000部分</w:t>
            </w:r>
          </w:p>
        </w:tc>
        <w:tc>
          <w:tcPr>
            <w:tcW w:w="1753" w:type="dxa"/>
            <w:vAlign w:val="center"/>
          </w:tcPr>
          <w:p w14:paraId="76CCBA16">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kern w:val="0"/>
                <w:szCs w:val="21"/>
              </w:rPr>
              <w:t>0.5%</w:t>
            </w:r>
          </w:p>
        </w:tc>
        <w:tc>
          <w:tcPr>
            <w:tcW w:w="1753" w:type="dxa"/>
            <w:vAlign w:val="center"/>
          </w:tcPr>
          <w:p w14:paraId="5E64972C">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szCs w:val="21"/>
              </w:rPr>
              <w:t>0.25%</w:t>
            </w:r>
          </w:p>
        </w:tc>
        <w:tc>
          <w:tcPr>
            <w:tcW w:w="1753" w:type="dxa"/>
            <w:vAlign w:val="center"/>
          </w:tcPr>
          <w:p w14:paraId="10B0BD05">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szCs w:val="21"/>
              </w:rPr>
              <w:t>0.35%</w:t>
            </w:r>
          </w:p>
        </w:tc>
      </w:tr>
      <w:tr w14:paraId="180D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38" w:type="dxa"/>
            <w:vAlign w:val="center"/>
          </w:tcPr>
          <w:p w14:paraId="265FF8C0">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kern w:val="0"/>
                <w:szCs w:val="21"/>
              </w:rPr>
              <w:t>5000-10000部分</w:t>
            </w:r>
          </w:p>
        </w:tc>
        <w:tc>
          <w:tcPr>
            <w:tcW w:w="1753" w:type="dxa"/>
            <w:vAlign w:val="center"/>
          </w:tcPr>
          <w:p w14:paraId="697859DE">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kern w:val="0"/>
                <w:szCs w:val="21"/>
              </w:rPr>
              <w:t>0.25%</w:t>
            </w:r>
          </w:p>
        </w:tc>
        <w:tc>
          <w:tcPr>
            <w:tcW w:w="1753" w:type="dxa"/>
            <w:vAlign w:val="center"/>
          </w:tcPr>
          <w:p w14:paraId="135CB666">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szCs w:val="21"/>
              </w:rPr>
              <w:t>0.1%</w:t>
            </w:r>
          </w:p>
        </w:tc>
        <w:tc>
          <w:tcPr>
            <w:tcW w:w="1753" w:type="dxa"/>
            <w:vAlign w:val="center"/>
          </w:tcPr>
          <w:p w14:paraId="5D03E947">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szCs w:val="21"/>
              </w:rPr>
              <w:t>0.2%</w:t>
            </w:r>
          </w:p>
        </w:tc>
      </w:tr>
      <w:tr w14:paraId="3E67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38" w:type="dxa"/>
            <w:vAlign w:val="center"/>
          </w:tcPr>
          <w:p w14:paraId="084F128E">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kern w:val="0"/>
                <w:szCs w:val="21"/>
              </w:rPr>
              <w:t>10000-100000部分</w:t>
            </w:r>
          </w:p>
        </w:tc>
        <w:tc>
          <w:tcPr>
            <w:tcW w:w="1753" w:type="dxa"/>
            <w:vAlign w:val="center"/>
          </w:tcPr>
          <w:p w14:paraId="1E7A5227">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kern w:val="0"/>
                <w:szCs w:val="21"/>
              </w:rPr>
              <w:t>0.05%</w:t>
            </w:r>
          </w:p>
        </w:tc>
        <w:tc>
          <w:tcPr>
            <w:tcW w:w="1753" w:type="dxa"/>
            <w:vAlign w:val="center"/>
          </w:tcPr>
          <w:p w14:paraId="52BC560A">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szCs w:val="21"/>
              </w:rPr>
              <w:t>0.05%</w:t>
            </w:r>
          </w:p>
        </w:tc>
        <w:tc>
          <w:tcPr>
            <w:tcW w:w="1753" w:type="dxa"/>
            <w:vAlign w:val="center"/>
          </w:tcPr>
          <w:p w14:paraId="4CD7961E">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szCs w:val="21"/>
              </w:rPr>
              <w:t>0.05%</w:t>
            </w:r>
          </w:p>
        </w:tc>
      </w:tr>
      <w:tr w14:paraId="1E0B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38" w:type="dxa"/>
            <w:vAlign w:val="center"/>
          </w:tcPr>
          <w:p w14:paraId="663E676E">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kern w:val="0"/>
                <w:szCs w:val="21"/>
              </w:rPr>
              <w:t>1000000以上部分</w:t>
            </w:r>
          </w:p>
        </w:tc>
        <w:tc>
          <w:tcPr>
            <w:tcW w:w="1753" w:type="dxa"/>
            <w:vAlign w:val="center"/>
          </w:tcPr>
          <w:p w14:paraId="44EB394A">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kern w:val="0"/>
                <w:szCs w:val="21"/>
              </w:rPr>
              <w:t>0.01%</w:t>
            </w:r>
          </w:p>
        </w:tc>
        <w:tc>
          <w:tcPr>
            <w:tcW w:w="1753" w:type="dxa"/>
            <w:vAlign w:val="center"/>
          </w:tcPr>
          <w:p w14:paraId="7E86BA9E">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szCs w:val="21"/>
              </w:rPr>
              <w:t>0.01%</w:t>
            </w:r>
          </w:p>
        </w:tc>
        <w:tc>
          <w:tcPr>
            <w:tcW w:w="1753" w:type="dxa"/>
            <w:vAlign w:val="center"/>
          </w:tcPr>
          <w:p w14:paraId="2AA39AE5">
            <w:pPr>
              <w:pageBreakBefore w:val="0"/>
              <w:kinsoku/>
              <w:overflowPunct/>
              <w:autoSpaceDN/>
              <w:bidi w:val="0"/>
              <w:adjustRightInd/>
              <w:spacing w:line="500" w:lineRule="exact"/>
              <w:jc w:val="center"/>
              <w:textAlignment w:val="auto"/>
              <w:rPr>
                <w:rFonts w:ascii="宋体" w:hAnsi="宋体" w:cs="宋体"/>
                <w:color w:val="auto"/>
                <w:kern w:val="0"/>
                <w:szCs w:val="21"/>
              </w:rPr>
            </w:pPr>
            <w:r>
              <w:rPr>
                <w:rFonts w:hint="eastAsia" w:ascii="宋体" w:hAnsi="宋体" w:cs="宋体"/>
                <w:color w:val="auto"/>
                <w:szCs w:val="21"/>
              </w:rPr>
              <w:t>0.01%</w:t>
            </w:r>
          </w:p>
        </w:tc>
      </w:tr>
    </w:tbl>
    <w:p w14:paraId="3046279E">
      <w:pPr>
        <w:pStyle w:val="58"/>
        <w:pageBreakBefore w:val="0"/>
        <w:kinsoku/>
        <w:overflowPunct/>
        <w:autoSpaceDN/>
        <w:bidi w:val="0"/>
        <w:adjustRightInd/>
        <w:spacing w:line="500" w:lineRule="exact"/>
        <w:textAlignment w:val="auto"/>
        <w:rPr>
          <w:rFonts w:cs="宋体"/>
          <w:color w:val="auto"/>
          <w:sz w:val="18"/>
          <w:szCs w:val="18"/>
        </w:rPr>
      </w:pPr>
    </w:p>
    <w:p w14:paraId="4D781A05">
      <w:pPr>
        <w:pageBreakBefore w:val="0"/>
        <w:kinsoku/>
        <w:overflowPunct/>
        <w:autoSpaceDN/>
        <w:bidi w:val="0"/>
        <w:adjustRightInd/>
        <w:spacing w:line="500" w:lineRule="exact"/>
        <w:textAlignment w:val="auto"/>
        <w:rPr>
          <w:rFonts w:ascii="宋体" w:hAnsi="宋体" w:cs="宋体"/>
          <w:color w:val="auto"/>
          <w:szCs w:val="21"/>
        </w:rPr>
      </w:pPr>
      <w:r>
        <w:rPr>
          <w:rFonts w:hint="eastAsia" w:ascii="宋体" w:hAnsi="宋体" w:cs="宋体"/>
          <w:color w:val="auto"/>
          <w:szCs w:val="21"/>
        </w:rPr>
        <w:t>5.3. 成交服务费以人民币支付。以银行转账、电汇或现金等形式支付。</w:t>
      </w:r>
      <w:r>
        <w:rPr>
          <w:rFonts w:hint="eastAsia" w:ascii="宋体" w:hAnsi="宋体" w:cs="宋体"/>
          <w:b/>
          <w:bCs/>
          <w:color w:val="auto"/>
          <w:szCs w:val="21"/>
        </w:rPr>
        <w:t>收款银行账号以采购代理机构发出的交纳招标服务费通知书中指定的银行账号为准。</w:t>
      </w:r>
    </w:p>
    <w:p w14:paraId="14FA6582">
      <w:pPr>
        <w:pageBreakBefore w:val="0"/>
        <w:kinsoku/>
        <w:overflowPunct/>
        <w:autoSpaceDN/>
        <w:bidi w:val="0"/>
        <w:adjustRightInd/>
        <w:spacing w:before="50" w:after="50" w:line="500" w:lineRule="exact"/>
        <w:textAlignment w:val="auto"/>
        <w:rPr>
          <w:rFonts w:hint="eastAsia" w:ascii="宋体" w:hAnsi="宋体" w:cs="宋体"/>
          <w:color w:val="auto"/>
          <w:szCs w:val="21"/>
        </w:rPr>
      </w:pPr>
      <w:r>
        <w:rPr>
          <w:rFonts w:hint="eastAsia" w:ascii="宋体" w:hAnsi="宋体" w:cs="宋体"/>
          <w:color w:val="auto"/>
          <w:szCs w:val="21"/>
        </w:rPr>
        <w:t>5.4. 招标服务费不在报价中单列。</w:t>
      </w:r>
      <w:bookmarkStart w:id="45" w:name="_Toc134956124"/>
      <w:bookmarkStart w:id="46" w:name="_Toc387076653"/>
    </w:p>
    <w:p w14:paraId="6DC1D4C2">
      <w:pPr>
        <w:pageBreakBefore w:val="0"/>
        <w:kinsoku/>
        <w:overflowPunct/>
        <w:autoSpaceDN/>
        <w:bidi w:val="0"/>
        <w:adjustRightInd/>
        <w:spacing w:line="500" w:lineRule="exact"/>
        <w:textAlignment w:val="auto"/>
        <w:rPr>
          <w:rFonts w:cs="宋体"/>
          <w:b w:val="0"/>
          <w:bCs/>
          <w:color w:val="auto"/>
          <w:sz w:val="21"/>
          <w:szCs w:val="21"/>
        </w:rPr>
      </w:pPr>
      <w:r>
        <w:rPr>
          <w:rFonts w:hint="eastAsia" w:cs="宋体"/>
          <w:color w:val="auto"/>
          <w:sz w:val="21"/>
          <w:szCs w:val="21"/>
        </w:rPr>
        <w:t>询问、质疑</w:t>
      </w:r>
      <w:bookmarkEnd w:id="45"/>
      <w:bookmarkEnd w:id="46"/>
      <w:r>
        <w:rPr>
          <w:rFonts w:hint="eastAsia" w:cs="宋体"/>
          <w:color w:val="auto"/>
          <w:sz w:val="21"/>
          <w:szCs w:val="21"/>
        </w:rPr>
        <w:t>、投诉</w:t>
      </w:r>
    </w:p>
    <w:p w14:paraId="6DBF1B12">
      <w:pPr>
        <w:pageBreakBefore w:val="0"/>
        <w:kinsoku/>
        <w:overflowPunct/>
        <w:autoSpaceDN/>
        <w:bidi w:val="0"/>
        <w:adjustRightInd/>
        <w:spacing w:line="500" w:lineRule="exact"/>
        <w:ind w:left="630" w:hanging="630" w:hangingChars="300"/>
        <w:textAlignment w:val="auto"/>
        <w:rPr>
          <w:rFonts w:ascii="宋体" w:hAnsi="宋体" w:cs="宋体"/>
          <w:color w:val="auto"/>
          <w:szCs w:val="21"/>
        </w:rPr>
      </w:pPr>
      <w:bookmarkStart w:id="47" w:name="_Toc134955411"/>
      <w:r>
        <w:rPr>
          <w:rFonts w:hint="eastAsia" w:ascii="宋体" w:hAnsi="宋体" w:cs="宋体"/>
          <w:color w:val="auto"/>
          <w:szCs w:val="21"/>
        </w:rPr>
        <w:t>6.1   响应供应商认为采购文件、采购过程和中标、成交结果有疑问的，可以向采购人或采购代理机构提出询问，询问可以口头方式提出，也可以书面方式提出，采购人或采购代理机构以同样方式作出答复，但答复的内容不涉及商业秘密。</w:t>
      </w:r>
    </w:p>
    <w:p w14:paraId="22F8678C">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6.2  响应供应商认为采购文件、采购过程和中标、成交结果有质疑的，可以在知道或者应知其权益受到损害之日起七个工作日内，以实名书面形式（原件）向采购人或者采购代理机构提出质疑，代理机构依照相关规定就采购人委托授权范围内的事项作出答复。</w:t>
      </w:r>
    </w:p>
    <w:p w14:paraId="563EA2B9">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6.3.  供应商应知其权益受到损害之日，是指：</w:t>
      </w:r>
    </w:p>
    <w:p w14:paraId="07E2BD27">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6.3.1 对采购文件提出质疑的，为收到采购文件之日或者采购文件公告期限届满之日；</w:t>
      </w:r>
    </w:p>
    <w:p w14:paraId="4C36E677">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6.3.2 对采购过程提出质疑的，为各采购程序环节结束之日；</w:t>
      </w:r>
    </w:p>
    <w:p w14:paraId="2D7E29DD">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6.3.3对中标（成交）结果提出质疑的，为中标（成交）结果公告期限届满之日。</w:t>
      </w:r>
    </w:p>
    <w:p w14:paraId="72BB7EB1">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6.4  供应商提出质疑的必须满足以下条件：</w:t>
      </w:r>
    </w:p>
    <w:p w14:paraId="61D52CF4">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6.4.1</w:t>
      </w:r>
      <w:r>
        <w:rPr>
          <w:rFonts w:hint="eastAsia" w:ascii="宋体" w:hAnsi="宋体" w:cs="宋体"/>
          <w:bCs/>
          <w:color w:val="auto"/>
          <w:szCs w:val="21"/>
        </w:rPr>
        <w:t>质疑方必须向采购代理机构支付磋商文件工本费后，才能作为供应商对磋商文件提出质疑，对采购过程或中标结果提出质疑的必须是参与了采购过程的供应商；</w:t>
      </w:r>
    </w:p>
    <w:p w14:paraId="246C9949">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6.4.2有明确的质疑对象；</w:t>
      </w:r>
    </w:p>
    <w:p w14:paraId="26377B7E">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6.4.3有基本的事实、明确的请求和必要的证据材料；</w:t>
      </w:r>
    </w:p>
    <w:p w14:paraId="18372652">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6.4.4符合法定的时效要求；</w:t>
      </w:r>
    </w:p>
    <w:p w14:paraId="37C491E1">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6.4.5履行必要的工作程序；</w:t>
      </w:r>
    </w:p>
    <w:p w14:paraId="3C9F6323">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6.4.6质疑内容不得含有虚假、恶意成分。</w:t>
      </w:r>
    </w:p>
    <w:p w14:paraId="2D750E1F">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6.5  供应商提出质疑书中应当包括以下内容：</w:t>
      </w:r>
    </w:p>
    <w:p w14:paraId="4B2010D3">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6.5.1质疑供应商的名称、地址、邮政编码、联系电话及联系人；</w:t>
      </w:r>
    </w:p>
    <w:p w14:paraId="0E6ADE70">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6.5.2质疑的具体内容、明确的请求和必要的证据材料；</w:t>
      </w:r>
    </w:p>
    <w:p w14:paraId="3E1AF80D">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6.5.3法人盖章、法定代表人或授权代表签署（授权代表签署的，应当提供法定代表人授权委托书）；</w:t>
      </w:r>
    </w:p>
    <w:p w14:paraId="25728549">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6.5.4其他需要提供的内容等。</w:t>
      </w:r>
    </w:p>
    <w:p w14:paraId="7335F7DC">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6.5.5质疑内容不得含有虚假、恶意成分，且必须应当有明确的请求和必要的证明材料。</w:t>
      </w:r>
    </w:p>
    <w:p w14:paraId="5B495471">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6.6   依照谁主张谁举证的原则，提出质疑者必须同时提交相关确凿的证据材料和注明证据的确切来源，证据来源必须合法，代理机构有权将质疑函转发质疑事项各关联方，请其作出解释说明。对捏造事实、滥用维权扰乱采购秩序的恶意质疑者，将上报监督管理部门依法处理。</w:t>
      </w:r>
    </w:p>
    <w:p w14:paraId="55FA5E17">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6.7   询问及质疑函应按相应格式进行填写及签署，没有签署的质疑函将不予受理。质疑供应商为自然人的，应当由本人签名并以右手食指手指手印作为确认；质疑供应商为法人或者其他组织的，应当由法定代表人签名并加盖公章。具体格式可在代理机构网站上下载。</w:t>
      </w:r>
    </w:p>
    <w:p w14:paraId="08B1EEBC">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6.8   质疑函原件必须现场提交，以邮寄、传真、电子邮件等方式非现场提交的质疑函不予受理。质疑方提出质疑时必须向采购人或者采购代理机构索取质疑受理回执书，受理日期以质疑受理回执日期为准。</w:t>
      </w:r>
      <w:bookmarkEnd w:id="47"/>
    </w:p>
    <w:p w14:paraId="6D199C49">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6.9   响应供应商在法定质疑期内针对同一采购程序环节的质疑须一次性提出，针对同一采购程序环节的重复质疑将不予受理。</w:t>
      </w:r>
    </w:p>
    <w:p w14:paraId="7AAEB45D">
      <w:pPr>
        <w:pageBreakBefore w:val="0"/>
        <w:tabs>
          <w:tab w:val="left" w:pos="425"/>
          <w:tab w:val="left" w:pos="624"/>
          <w:tab w:val="left" w:pos="735"/>
        </w:tabs>
        <w:kinsoku/>
        <w:overflowPunct/>
        <w:autoSpaceDN/>
        <w:bidi w:val="0"/>
        <w:adjustRightInd/>
        <w:spacing w:line="500" w:lineRule="exact"/>
        <w:ind w:left="630" w:hanging="630" w:hangingChars="300"/>
        <w:textAlignment w:val="auto"/>
        <w:rPr>
          <w:rFonts w:ascii="宋体" w:hAnsi="宋体" w:cs="宋体"/>
          <w:color w:val="auto"/>
          <w:szCs w:val="21"/>
        </w:rPr>
      </w:pPr>
      <w:r>
        <w:rPr>
          <w:rFonts w:hint="eastAsia" w:ascii="宋体" w:hAnsi="宋体" w:cs="宋体"/>
          <w:color w:val="auto"/>
          <w:szCs w:val="21"/>
        </w:rPr>
        <w:t>6.10  质疑供应商对采购人、代理机构的质疑答复不满意，或者采购人、代理机构未在规定期限内作出答复的，可以在答复期满后15个工作日内向采购人的同级监督管理部门提起投诉。</w:t>
      </w:r>
    </w:p>
    <w:p w14:paraId="66319698">
      <w:pPr>
        <w:pageBreakBefore w:val="0"/>
        <w:kinsoku/>
        <w:overflowPunct/>
        <w:autoSpaceDN/>
        <w:bidi w:val="0"/>
        <w:adjustRightInd/>
        <w:spacing w:line="500" w:lineRule="exact"/>
        <w:ind w:left="630" w:right="-317" w:rightChars="-151" w:hanging="630" w:hangingChars="300"/>
        <w:textAlignment w:val="auto"/>
        <w:rPr>
          <w:rFonts w:ascii="宋体" w:hAnsi="宋体" w:cs="宋体"/>
          <w:color w:val="auto"/>
          <w:szCs w:val="21"/>
        </w:rPr>
      </w:pPr>
      <w:r>
        <w:rPr>
          <w:rFonts w:hint="eastAsia" w:ascii="宋体" w:hAnsi="宋体" w:cs="宋体"/>
          <w:color w:val="auto"/>
          <w:szCs w:val="21"/>
        </w:rPr>
        <w:t>6.7   询问、质疑受理单位：韶关市君信招标代理有限公司，联系电话：（0751）8888552。</w:t>
      </w:r>
    </w:p>
    <w:p w14:paraId="15C57A68">
      <w:pPr>
        <w:pStyle w:val="160"/>
        <w:pageBreakBefore w:val="0"/>
        <w:numPr>
          <w:ilvl w:val="0"/>
          <w:numId w:val="6"/>
        </w:numPr>
        <w:tabs>
          <w:tab w:val="left" w:pos="567"/>
        </w:tabs>
        <w:kinsoku/>
        <w:overflowPunct/>
        <w:autoSpaceDN/>
        <w:bidi w:val="0"/>
        <w:adjustRightInd/>
        <w:spacing w:line="500" w:lineRule="exact"/>
        <w:ind w:firstLineChars="0"/>
        <w:textAlignment w:val="auto"/>
        <w:rPr>
          <w:rFonts w:ascii="宋体" w:hAnsi="宋体" w:cs="宋体"/>
          <w:b/>
          <w:bCs/>
          <w:color w:val="auto"/>
          <w:szCs w:val="21"/>
        </w:rPr>
      </w:pPr>
      <w:r>
        <w:rPr>
          <w:rFonts w:hint="eastAsia" w:ascii="宋体" w:hAnsi="宋体" w:cs="宋体"/>
          <w:b/>
          <w:bCs/>
          <w:color w:val="auto"/>
          <w:szCs w:val="21"/>
          <w:lang w:eastAsia="zh-CN"/>
        </w:rPr>
        <w:t>采购文件</w:t>
      </w:r>
      <w:r>
        <w:rPr>
          <w:rFonts w:hint="eastAsia" w:ascii="宋体" w:hAnsi="宋体" w:cs="宋体"/>
          <w:b/>
          <w:bCs/>
          <w:color w:val="auto"/>
          <w:szCs w:val="21"/>
        </w:rPr>
        <w:t>的解释权</w:t>
      </w:r>
    </w:p>
    <w:p w14:paraId="37DCE1B5">
      <w:pPr>
        <w:pageBreakBefore w:val="0"/>
        <w:kinsoku/>
        <w:overflowPunct/>
        <w:autoSpaceDN/>
        <w:bidi w:val="0"/>
        <w:adjustRightInd/>
        <w:spacing w:line="500" w:lineRule="exact"/>
        <w:textAlignment w:val="auto"/>
        <w:rPr>
          <w:rFonts w:ascii="宋体" w:hAnsi="宋体" w:cs="宋体"/>
          <w:color w:val="auto"/>
          <w:szCs w:val="21"/>
        </w:rPr>
      </w:pPr>
      <w:r>
        <w:rPr>
          <w:rFonts w:hint="eastAsia" w:ascii="宋体" w:hAnsi="宋体" w:cs="宋体"/>
          <w:color w:val="auto"/>
          <w:szCs w:val="21"/>
        </w:rPr>
        <w:t xml:space="preserve">      本</w:t>
      </w:r>
      <w:r>
        <w:rPr>
          <w:rFonts w:hint="eastAsia" w:ascii="宋体" w:hAnsi="宋体" w:cs="宋体"/>
          <w:color w:val="auto"/>
          <w:szCs w:val="21"/>
          <w:lang w:eastAsia="zh-CN"/>
        </w:rPr>
        <w:t>采购文件</w:t>
      </w:r>
      <w:r>
        <w:rPr>
          <w:rFonts w:hint="eastAsia" w:ascii="宋体" w:hAnsi="宋体" w:cs="宋体"/>
          <w:color w:val="auto"/>
          <w:szCs w:val="21"/>
        </w:rPr>
        <w:t>的解释权归“韶关市君信招标代理有限公司”所有。</w:t>
      </w:r>
    </w:p>
    <w:bookmarkEnd w:id="11"/>
    <w:bookmarkEnd w:id="12"/>
    <w:bookmarkEnd w:id="13"/>
    <w:bookmarkEnd w:id="14"/>
    <w:bookmarkEnd w:id="15"/>
    <w:bookmarkEnd w:id="16"/>
    <w:bookmarkEnd w:id="17"/>
    <w:bookmarkEnd w:id="18"/>
    <w:p w14:paraId="4A178800">
      <w:pPr>
        <w:pageBreakBefore w:val="0"/>
        <w:kinsoku/>
        <w:overflowPunct/>
        <w:autoSpaceDN/>
        <w:bidi w:val="0"/>
        <w:adjustRightInd/>
        <w:spacing w:line="500" w:lineRule="exact"/>
        <w:textAlignment w:val="auto"/>
        <w:rPr>
          <w:rFonts w:ascii="宋体" w:hAnsi="宋体" w:cs="宋体"/>
          <w:color w:val="auto"/>
        </w:rPr>
      </w:pPr>
      <w:bookmarkStart w:id="48" w:name="_Toc453695703"/>
      <w:bookmarkStart w:id="49" w:name="_Toc453695576"/>
    </w:p>
    <w:p w14:paraId="5F7D5B3D">
      <w:pPr>
        <w:pStyle w:val="58"/>
        <w:pageBreakBefore w:val="0"/>
        <w:kinsoku/>
        <w:overflowPunct/>
        <w:autoSpaceDN/>
        <w:bidi w:val="0"/>
        <w:adjustRightInd/>
        <w:spacing w:line="500" w:lineRule="exact"/>
        <w:textAlignment w:val="auto"/>
        <w:rPr>
          <w:rFonts w:cs="宋体"/>
          <w:color w:val="auto"/>
        </w:rPr>
      </w:pPr>
    </w:p>
    <w:p w14:paraId="6072059D">
      <w:pPr>
        <w:pageBreakBefore w:val="0"/>
        <w:kinsoku/>
        <w:overflowPunct/>
        <w:autoSpaceDN/>
        <w:bidi w:val="0"/>
        <w:adjustRightInd/>
        <w:spacing w:line="500" w:lineRule="exact"/>
        <w:textAlignment w:val="auto"/>
        <w:rPr>
          <w:rFonts w:ascii="宋体" w:hAnsi="宋体" w:cs="宋体"/>
          <w:b/>
          <w:bCs/>
          <w:color w:val="auto"/>
          <w:szCs w:val="21"/>
        </w:rPr>
      </w:pPr>
      <w:r>
        <w:rPr>
          <w:rFonts w:hint="eastAsia" w:ascii="宋体" w:hAnsi="宋体" w:cs="宋体"/>
          <w:b/>
          <w:bCs/>
          <w:color w:val="auto"/>
          <w:szCs w:val="21"/>
        </w:rPr>
        <w:br w:type="page"/>
      </w:r>
    </w:p>
    <w:p w14:paraId="6B5F3F34">
      <w:pPr>
        <w:pStyle w:val="2"/>
        <w:jc w:val="center"/>
        <w:rPr>
          <w:rFonts w:ascii="宋体" w:hAnsi="宋体" w:cs="宋体"/>
          <w:color w:val="auto"/>
          <w:szCs w:val="36"/>
        </w:rPr>
      </w:pPr>
      <w:bookmarkStart w:id="50" w:name="_Toc31568"/>
      <w:r>
        <w:rPr>
          <w:rFonts w:hint="eastAsia" w:ascii="宋体" w:hAnsi="宋体" w:cs="宋体"/>
          <w:color w:val="auto"/>
          <w:szCs w:val="36"/>
        </w:rPr>
        <w:t xml:space="preserve">第四章 </w:t>
      </w:r>
      <w:bookmarkEnd w:id="48"/>
      <w:bookmarkEnd w:id="49"/>
      <w:r>
        <w:rPr>
          <w:rFonts w:hint="eastAsia" w:ascii="宋体" w:hAnsi="宋体" w:cs="宋体"/>
          <w:color w:val="auto"/>
          <w:szCs w:val="36"/>
        </w:rPr>
        <w:t>磋商细则</w:t>
      </w:r>
      <w:bookmarkEnd w:id="50"/>
    </w:p>
    <w:p w14:paraId="140A4319">
      <w:pPr>
        <w:pStyle w:val="2"/>
        <w:spacing w:before="120" w:after="120" w:line="360" w:lineRule="auto"/>
        <w:ind w:right="678" w:rightChars="323"/>
        <w:rPr>
          <w:rFonts w:ascii="宋体" w:hAnsi="宋体" w:cs="宋体"/>
          <w:color w:val="auto"/>
          <w:sz w:val="21"/>
          <w:szCs w:val="28"/>
        </w:rPr>
      </w:pPr>
      <w:bookmarkStart w:id="51" w:name="_Toc24815"/>
      <w:bookmarkStart w:id="52" w:name="_Toc6146"/>
      <w:bookmarkStart w:id="53" w:name="_Toc23493"/>
      <w:bookmarkStart w:id="54" w:name="_Toc237684314"/>
      <w:bookmarkStart w:id="55" w:name="_Toc453695577"/>
      <w:bookmarkStart w:id="56" w:name="_Toc9901"/>
      <w:bookmarkStart w:id="57" w:name="_Toc183338091"/>
      <w:bookmarkStart w:id="58" w:name="_Toc13778"/>
      <w:bookmarkStart w:id="59" w:name="_Toc4429"/>
      <w:bookmarkStart w:id="60" w:name="_Toc338083281"/>
      <w:bookmarkStart w:id="61" w:name="_Toc238274897"/>
      <w:bookmarkStart w:id="62" w:name="_Toc28621"/>
      <w:bookmarkStart w:id="63" w:name="_Toc237683953"/>
      <w:bookmarkStart w:id="64" w:name="_Toc234746291"/>
      <w:bookmarkStart w:id="65" w:name="_Toc238275015"/>
      <w:bookmarkStart w:id="66" w:name="_Toc231028402"/>
      <w:bookmarkStart w:id="67" w:name="_Toc25623"/>
      <w:bookmarkStart w:id="68" w:name="_Toc461991236"/>
      <w:bookmarkStart w:id="69" w:name="_Toc22519"/>
      <w:bookmarkStart w:id="70" w:name="_Toc453695704"/>
      <w:r>
        <w:rPr>
          <w:rFonts w:hint="eastAsia" w:ascii="宋体" w:hAnsi="宋体" w:cs="宋体"/>
          <w:color w:val="auto"/>
          <w:sz w:val="21"/>
          <w:szCs w:val="28"/>
        </w:rPr>
        <w:t>一、说明</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AFBA6DA">
      <w:pPr>
        <w:pStyle w:val="3"/>
        <w:spacing w:before="120" w:after="120"/>
        <w:ind w:right="678" w:rightChars="323"/>
        <w:rPr>
          <w:rFonts w:cs="宋体"/>
          <w:color w:val="auto"/>
          <w:sz w:val="21"/>
          <w:szCs w:val="24"/>
        </w:rPr>
      </w:pPr>
      <w:bookmarkStart w:id="71" w:name="_Toc231028403"/>
      <w:bookmarkStart w:id="72" w:name="_Toc30070"/>
      <w:bookmarkStart w:id="73" w:name="_Toc16808"/>
      <w:bookmarkStart w:id="74" w:name="_Toc237683954"/>
      <w:bookmarkStart w:id="75" w:name="_Toc9762"/>
      <w:bookmarkStart w:id="76" w:name="_Toc7072"/>
      <w:bookmarkStart w:id="77" w:name="_Toc453695705"/>
      <w:bookmarkStart w:id="78" w:name="_Toc6376"/>
      <w:bookmarkStart w:id="79" w:name="_Toc183338092"/>
      <w:bookmarkStart w:id="80" w:name="_Toc237684315"/>
      <w:bookmarkStart w:id="81" w:name="_Toc238274898"/>
      <w:bookmarkStart w:id="82" w:name="_Toc185746876"/>
      <w:bookmarkStart w:id="83" w:name="_Toc7035"/>
      <w:bookmarkStart w:id="84" w:name="_Toc453695578"/>
      <w:bookmarkStart w:id="85" w:name="_Toc338083282"/>
      <w:bookmarkStart w:id="86" w:name="_Toc461991237"/>
      <w:bookmarkStart w:id="87" w:name="_Toc19211"/>
      <w:bookmarkStart w:id="88" w:name="_Toc8767"/>
      <w:bookmarkStart w:id="89" w:name="_Toc234746292"/>
      <w:bookmarkStart w:id="90" w:name="_Toc231010450"/>
      <w:bookmarkStart w:id="91" w:name="_Toc32489"/>
      <w:bookmarkStart w:id="92" w:name="_Toc238275016"/>
      <w:r>
        <w:rPr>
          <w:rFonts w:hint="eastAsia" w:cs="宋体"/>
          <w:color w:val="auto"/>
          <w:sz w:val="21"/>
          <w:szCs w:val="24"/>
        </w:rPr>
        <w:t>1.概述</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281644A">
      <w:pPr>
        <w:spacing w:line="360" w:lineRule="auto"/>
        <w:ind w:right="678" w:rightChars="323" w:firstLine="420" w:firstLineChars="200"/>
        <w:rPr>
          <w:rFonts w:ascii="宋体" w:hAnsi="宋体" w:cs="宋体"/>
          <w:color w:val="auto"/>
          <w:szCs w:val="21"/>
        </w:rPr>
      </w:pPr>
      <w:r>
        <w:rPr>
          <w:rFonts w:hint="eastAsia" w:ascii="宋体" w:hAnsi="宋体" w:cs="宋体"/>
          <w:color w:val="auto"/>
          <w:szCs w:val="21"/>
        </w:rPr>
        <w:t>根据</w:t>
      </w:r>
      <w:r>
        <w:rPr>
          <w:rFonts w:hint="eastAsia" w:ascii="宋体" w:hAnsi="宋体" w:cs="宋体"/>
          <w:bCs/>
          <w:color w:val="auto"/>
          <w:szCs w:val="21"/>
        </w:rPr>
        <w:t>有关规定</w:t>
      </w:r>
      <w:r>
        <w:rPr>
          <w:rFonts w:hint="eastAsia" w:ascii="宋体" w:hAnsi="宋体" w:cs="宋体"/>
          <w:color w:val="auto"/>
          <w:szCs w:val="21"/>
        </w:rPr>
        <w:t>，</w:t>
      </w:r>
      <w:r>
        <w:rPr>
          <w:rFonts w:hint="eastAsia" w:ascii="宋体" w:hAnsi="宋体" w:cs="宋体"/>
          <w:bCs/>
          <w:color w:val="auto"/>
          <w:szCs w:val="21"/>
        </w:rPr>
        <w:t>遵循“公平、公正、科学、择优”的原则，</w:t>
      </w:r>
      <w:r>
        <w:rPr>
          <w:rFonts w:hint="eastAsia" w:ascii="宋体" w:hAnsi="宋体" w:cs="宋体"/>
          <w:color w:val="auto"/>
          <w:szCs w:val="21"/>
        </w:rPr>
        <w:t>结合本项目的技术和商务需求，由韶关市君信招标代理有限公司编制本磋商细则，并经磋商小组确认。内容包括本次竞争性磋商的过程和方法。</w:t>
      </w:r>
    </w:p>
    <w:p w14:paraId="5B0F6981">
      <w:pPr>
        <w:pStyle w:val="3"/>
        <w:spacing w:before="120" w:after="120"/>
        <w:ind w:right="678" w:rightChars="323"/>
        <w:rPr>
          <w:rFonts w:cs="宋体"/>
          <w:color w:val="auto"/>
          <w:sz w:val="21"/>
          <w:szCs w:val="21"/>
        </w:rPr>
      </w:pPr>
      <w:bookmarkStart w:id="93" w:name="_Toc234746293"/>
      <w:bookmarkStart w:id="94" w:name="_Toc237684316"/>
      <w:bookmarkStart w:id="95" w:name="_Toc237683955"/>
      <w:bookmarkStart w:id="96" w:name="_Toc185746877"/>
      <w:bookmarkStart w:id="97" w:name="_Toc231028404"/>
      <w:bookmarkStart w:id="98" w:name="_Toc231010451"/>
      <w:bookmarkStart w:id="99" w:name="_Toc238274899"/>
      <w:bookmarkStart w:id="100" w:name="_Toc238275017"/>
      <w:bookmarkStart w:id="101" w:name="_Toc183338093"/>
      <w:bookmarkStart w:id="102" w:name="_Toc2336"/>
      <w:bookmarkStart w:id="103" w:name="_Toc461991238"/>
      <w:bookmarkStart w:id="104" w:name="_Toc453695706"/>
      <w:bookmarkStart w:id="105" w:name="_Toc7744"/>
      <w:bookmarkStart w:id="106" w:name="_Toc29698"/>
      <w:bookmarkStart w:id="107" w:name="_Toc14155"/>
      <w:bookmarkStart w:id="108" w:name="_Toc21428"/>
      <w:bookmarkStart w:id="109" w:name="_Toc32541"/>
      <w:bookmarkStart w:id="110" w:name="_Toc453695579"/>
      <w:bookmarkStart w:id="111" w:name="_Toc26058"/>
      <w:bookmarkStart w:id="112" w:name="_Toc292"/>
      <w:bookmarkStart w:id="113" w:name="_Toc338083283"/>
      <w:bookmarkStart w:id="114" w:name="_Toc21787"/>
      <w:r>
        <w:rPr>
          <w:rFonts w:hint="eastAsia" w:cs="宋体"/>
          <w:color w:val="auto"/>
          <w:sz w:val="21"/>
          <w:szCs w:val="21"/>
        </w:rPr>
        <w:t>2.</w:t>
      </w:r>
      <w:bookmarkEnd w:id="93"/>
      <w:bookmarkEnd w:id="94"/>
      <w:bookmarkEnd w:id="95"/>
      <w:bookmarkEnd w:id="96"/>
      <w:bookmarkEnd w:id="97"/>
      <w:bookmarkEnd w:id="98"/>
      <w:bookmarkEnd w:id="99"/>
      <w:bookmarkEnd w:id="100"/>
      <w:bookmarkEnd w:id="101"/>
      <w:bookmarkStart w:id="115" w:name="_Toc231028405"/>
      <w:bookmarkStart w:id="116" w:name="_Toc231010452"/>
      <w:bookmarkStart w:id="117" w:name="_Toc185746878"/>
      <w:bookmarkStart w:id="118" w:name="_Toc238274900"/>
      <w:bookmarkStart w:id="119" w:name="_Toc238275018"/>
      <w:bookmarkStart w:id="120" w:name="_Toc237683956"/>
      <w:bookmarkStart w:id="121" w:name="_Toc234746294"/>
      <w:bookmarkStart w:id="122" w:name="_Toc183338094"/>
      <w:bookmarkStart w:id="123" w:name="_Toc237684317"/>
      <w:r>
        <w:rPr>
          <w:rFonts w:hint="eastAsia" w:cs="宋体"/>
          <w:color w:val="auto"/>
          <w:sz w:val="21"/>
          <w:szCs w:val="21"/>
        </w:rPr>
        <w:t>磋商小组的组成</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61D87A8">
      <w:pPr>
        <w:spacing w:line="360" w:lineRule="auto"/>
        <w:ind w:right="678" w:rightChars="323" w:firstLine="420" w:firstLineChars="200"/>
        <w:rPr>
          <w:rFonts w:ascii="宋体" w:hAnsi="宋体" w:cs="宋体"/>
          <w:color w:val="auto"/>
          <w:szCs w:val="21"/>
        </w:rPr>
      </w:pPr>
      <w:r>
        <w:rPr>
          <w:rFonts w:hint="eastAsia" w:ascii="宋体" w:hAnsi="宋体" w:cs="宋体"/>
          <w:color w:val="auto"/>
          <w:szCs w:val="21"/>
        </w:rPr>
        <w:t>全部磋商过程由依法组建的磋商小组负责完成，磋商小组由</w:t>
      </w:r>
      <w:r>
        <w:rPr>
          <w:rFonts w:hint="eastAsia" w:ascii="宋体" w:hAnsi="宋体" w:cs="宋体"/>
          <w:color w:val="auto"/>
          <w:szCs w:val="21"/>
          <w:u w:val="single"/>
        </w:rPr>
        <w:t>三人</w:t>
      </w:r>
      <w:r>
        <w:rPr>
          <w:rFonts w:hint="eastAsia" w:ascii="宋体" w:hAnsi="宋体" w:cs="宋体"/>
          <w:color w:val="auto"/>
          <w:szCs w:val="21"/>
        </w:rPr>
        <w:t>单数组成，从采购专家库中随机抽取产生，或其中一名由采购人指派代表参加。磋商小组下设工作小组，主要由采购代理机构工作人员组成，负责整理文件等工作。</w:t>
      </w:r>
    </w:p>
    <w:p w14:paraId="43C53D91">
      <w:pPr>
        <w:pStyle w:val="2"/>
        <w:spacing w:before="120" w:after="120" w:line="360" w:lineRule="auto"/>
        <w:ind w:right="678" w:rightChars="323"/>
        <w:rPr>
          <w:rFonts w:ascii="宋体" w:hAnsi="宋体" w:cs="宋体"/>
          <w:color w:val="auto"/>
          <w:sz w:val="21"/>
          <w:szCs w:val="21"/>
        </w:rPr>
      </w:pPr>
      <w:bookmarkStart w:id="124" w:name="_Toc238275019"/>
      <w:bookmarkStart w:id="125" w:name="_Toc461991239"/>
      <w:bookmarkStart w:id="126" w:name="_Toc237684318"/>
      <w:bookmarkStart w:id="127" w:name="_Toc453695707"/>
      <w:bookmarkStart w:id="128" w:name="_Toc234746295"/>
      <w:bookmarkStart w:id="129" w:name="_Toc20720"/>
      <w:bookmarkStart w:id="130" w:name="_Toc453695580"/>
      <w:bookmarkStart w:id="131" w:name="_Toc238274901"/>
      <w:bookmarkStart w:id="132" w:name="_Toc237683957"/>
      <w:bookmarkStart w:id="133" w:name="_Toc13932"/>
      <w:bookmarkStart w:id="134" w:name="_Toc7777"/>
      <w:bookmarkStart w:id="135" w:name="_Toc338083284"/>
      <w:bookmarkStart w:id="136" w:name="_Toc24233"/>
      <w:bookmarkStart w:id="137" w:name="_Toc23803"/>
      <w:bookmarkStart w:id="138" w:name="_Toc9108"/>
      <w:bookmarkStart w:id="139" w:name="_Toc231028406"/>
      <w:bookmarkStart w:id="140" w:name="_Toc8332"/>
      <w:bookmarkStart w:id="141" w:name="_Toc28694"/>
      <w:bookmarkStart w:id="142" w:name="_Toc547"/>
      <w:bookmarkStart w:id="143" w:name="_Toc183338095"/>
      <w:r>
        <w:rPr>
          <w:rFonts w:hint="eastAsia" w:ascii="宋体" w:hAnsi="宋体" w:cs="宋体"/>
          <w:color w:val="auto"/>
          <w:sz w:val="21"/>
          <w:szCs w:val="21"/>
        </w:rPr>
        <w:t>二、磋商须知</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D0D11FA">
      <w:pPr>
        <w:pStyle w:val="3"/>
        <w:spacing w:before="120" w:after="120"/>
        <w:ind w:right="678" w:rightChars="323"/>
        <w:rPr>
          <w:rFonts w:cs="宋体"/>
          <w:color w:val="auto"/>
          <w:sz w:val="21"/>
          <w:szCs w:val="21"/>
        </w:rPr>
      </w:pPr>
      <w:bookmarkStart w:id="144" w:name="_Toc231028407"/>
      <w:bookmarkStart w:id="145" w:name="_Toc453695581"/>
      <w:bookmarkStart w:id="146" w:name="_Toc16563"/>
      <w:bookmarkStart w:id="147" w:name="_Toc238275020"/>
      <w:bookmarkStart w:id="148" w:name="_Toc9039"/>
      <w:bookmarkStart w:id="149" w:name="_Toc185746880"/>
      <w:bookmarkStart w:id="150" w:name="_Toc20942"/>
      <w:bookmarkStart w:id="151" w:name="_Toc234746296"/>
      <w:bookmarkStart w:id="152" w:name="_Toc18303"/>
      <w:bookmarkStart w:id="153" w:name="_Toc7254"/>
      <w:bookmarkStart w:id="154" w:name="_Toc231010454"/>
      <w:bookmarkStart w:id="155" w:name="_Toc18875"/>
      <w:bookmarkStart w:id="156" w:name="_Toc338083285"/>
      <w:bookmarkStart w:id="157" w:name="_Toc183338096"/>
      <w:bookmarkStart w:id="158" w:name="_Toc461991240"/>
      <w:bookmarkStart w:id="159" w:name="_Toc7590"/>
      <w:bookmarkStart w:id="160" w:name="_Toc237684319"/>
      <w:bookmarkStart w:id="161" w:name="_Toc30145"/>
      <w:bookmarkStart w:id="162" w:name="_Toc237683958"/>
      <w:bookmarkStart w:id="163" w:name="_Toc238274902"/>
      <w:bookmarkStart w:id="164" w:name="_Toc21457"/>
      <w:bookmarkStart w:id="165" w:name="_Toc453695708"/>
      <w:r>
        <w:rPr>
          <w:rFonts w:hint="eastAsia" w:cs="宋体"/>
          <w:color w:val="auto"/>
          <w:sz w:val="21"/>
          <w:szCs w:val="21"/>
        </w:rPr>
        <w:t>1.关于磋商方案</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63C31AD">
      <w:pPr>
        <w:spacing w:line="360" w:lineRule="auto"/>
        <w:ind w:left="-61" w:leftChars="-29" w:right="678" w:rightChars="323" w:firstLine="420" w:firstLineChars="200"/>
        <w:rPr>
          <w:rFonts w:ascii="宋体" w:hAnsi="宋体" w:cs="宋体"/>
          <w:color w:val="auto"/>
          <w:szCs w:val="21"/>
        </w:rPr>
      </w:pPr>
      <w:r>
        <w:rPr>
          <w:rFonts w:hint="eastAsia" w:ascii="宋体" w:hAnsi="宋体" w:cs="宋体"/>
          <w:color w:val="auto"/>
          <w:szCs w:val="21"/>
        </w:rPr>
        <w:t>磋商小组应当严格遵守磋商纪律和磋商工作规则，按照</w:t>
      </w:r>
      <w:r>
        <w:rPr>
          <w:rFonts w:hint="eastAsia" w:ascii="宋体" w:hAnsi="宋体" w:cs="宋体"/>
          <w:color w:val="auto"/>
          <w:szCs w:val="21"/>
          <w:lang w:eastAsia="zh-CN"/>
        </w:rPr>
        <w:t>采购文件</w:t>
      </w:r>
      <w:r>
        <w:rPr>
          <w:rFonts w:hint="eastAsia" w:ascii="宋体" w:hAnsi="宋体" w:cs="宋体"/>
          <w:color w:val="auto"/>
          <w:szCs w:val="21"/>
        </w:rPr>
        <w:t>载明的磋商方法、评审标准开展磋商活动。</w:t>
      </w:r>
    </w:p>
    <w:p w14:paraId="30DA13EA">
      <w:pPr>
        <w:pStyle w:val="3"/>
        <w:spacing w:before="120" w:after="120"/>
        <w:ind w:right="678" w:rightChars="323"/>
        <w:rPr>
          <w:rFonts w:cs="宋体"/>
          <w:color w:val="auto"/>
          <w:sz w:val="21"/>
          <w:szCs w:val="21"/>
        </w:rPr>
      </w:pPr>
      <w:bookmarkStart w:id="166" w:name="_Toc461991241"/>
      <w:bookmarkStart w:id="167" w:name="_Toc22444"/>
      <w:bookmarkStart w:id="168" w:name="_Toc338083286"/>
      <w:bookmarkStart w:id="169" w:name="_Toc23868"/>
      <w:bookmarkStart w:id="170" w:name="_Toc238275021"/>
      <w:bookmarkStart w:id="171" w:name="_Toc2688"/>
      <w:bookmarkStart w:id="172" w:name="_Toc453695582"/>
      <w:bookmarkStart w:id="173" w:name="_Toc31506"/>
      <w:bookmarkStart w:id="174" w:name="_Toc19021"/>
      <w:bookmarkStart w:id="175" w:name="_Toc14815"/>
      <w:bookmarkStart w:id="176" w:name="_Toc25033"/>
      <w:bookmarkStart w:id="177" w:name="_Toc237684320"/>
      <w:bookmarkStart w:id="178" w:name="_Toc185746881"/>
      <w:bookmarkStart w:id="179" w:name="_Toc231010455"/>
      <w:bookmarkStart w:id="180" w:name="_Toc237683959"/>
      <w:bookmarkStart w:id="181" w:name="_Toc18709"/>
      <w:bookmarkStart w:id="182" w:name="_Toc1543"/>
      <w:bookmarkStart w:id="183" w:name="_Toc183338097"/>
      <w:bookmarkStart w:id="184" w:name="_Toc234746297"/>
      <w:bookmarkStart w:id="185" w:name="_Toc231028408"/>
      <w:bookmarkStart w:id="186" w:name="_Toc453695709"/>
      <w:bookmarkStart w:id="187" w:name="_Toc238274903"/>
      <w:r>
        <w:rPr>
          <w:rFonts w:hint="eastAsia" w:cs="宋体"/>
          <w:color w:val="auto"/>
          <w:sz w:val="21"/>
          <w:szCs w:val="21"/>
        </w:rPr>
        <w:t>2.关于磋商</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15FE6968">
      <w:pPr>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（1）采购代理机构负责主持整个磋商会议；</w:t>
      </w:r>
    </w:p>
    <w:p w14:paraId="48FB284A">
      <w:pPr>
        <w:tabs>
          <w:tab w:val="left" w:pos="720"/>
        </w:tabs>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（2）在磋商活动中，磋商小组应当根据《</w:t>
      </w:r>
      <w:r>
        <w:rPr>
          <w:rFonts w:hint="eastAsia" w:ascii="宋体" w:hAnsi="宋体" w:cs="宋体"/>
          <w:color w:val="auto"/>
          <w:szCs w:val="21"/>
          <w:lang w:eastAsia="zh-CN"/>
        </w:rPr>
        <w:t>采购文件</w:t>
      </w:r>
      <w:r>
        <w:rPr>
          <w:rFonts w:hint="eastAsia" w:ascii="宋体" w:hAnsi="宋体" w:cs="宋体"/>
          <w:color w:val="auto"/>
          <w:szCs w:val="21"/>
        </w:rPr>
        <w:t>》分别与每一位供应商进行单独磋商，并根据磋商小组将综合考虑货物技术性能指标、供应商综合实力、最终报价、交货期限、保修期、服务承诺及供应商提供的其他优惠条件等。使用综合评分法，推荐满足</w:t>
      </w:r>
      <w:r>
        <w:rPr>
          <w:rFonts w:hint="eastAsia" w:ascii="宋体" w:hAnsi="宋体" w:cs="宋体"/>
          <w:color w:val="auto"/>
          <w:szCs w:val="21"/>
          <w:lang w:eastAsia="zh-CN"/>
        </w:rPr>
        <w:t>采购文件</w:t>
      </w:r>
      <w:r>
        <w:rPr>
          <w:rFonts w:hint="eastAsia" w:ascii="宋体" w:hAnsi="宋体" w:cs="宋体"/>
          <w:color w:val="auto"/>
          <w:szCs w:val="21"/>
        </w:rPr>
        <w:t>全部实质性要求且按评审因素的量化指标评审得分最高的供应商为成交候选供应商，其余依次替补。</w:t>
      </w:r>
    </w:p>
    <w:p w14:paraId="202B36CE">
      <w:pPr>
        <w:pStyle w:val="3"/>
        <w:tabs>
          <w:tab w:val="left" w:pos="5235"/>
        </w:tabs>
        <w:spacing w:before="120" w:after="120"/>
        <w:ind w:right="678" w:rightChars="323"/>
        <w:rPr>
          <w:rFonts w:cs="宋体"/>
          <w:color w:val="auto"/>
          <w:sz w:val="21"/>
          <w:szCs w:val="21"/>
        </w:rPr>
      </w:pPr>
      <w:bookmarkStart w:id="188" w:name="_Toc2981"/>
      <w:bookmarkStart w:id="189" w:name="_Toc453695583"/>
      <w:bookmarkStart w:id="190" w:name="_Toc338083287"/>
      <w:bookmarkStart w:id="191" w:name="_Toc231010456"/>
      <w:bookmarkStart w:id="192" w:name="_Toc185746882"/>
      <w:bookmarkStart w:id="193" w:name="_Toc238274904"/>
      <w:bookmarkStart w:id="194" w:name="_Toc20021"/>
      <w:bookmarkStart w:id="195" w:name="_Toc183338098"/>
      <w:bookmarkStart w:id="196" w:name="_Toc18905"/>
      <w:bookmarkStart w:id="197" w:name="_Toc26677"/>
      <w:bookmarkStart w:id="198" w:name="_Toc238275022"/>
      <w:bookmarkStart w:id="199" w:name="_Toc234746298"/>
      <w:bookmarkStart w:id="200" w:name="_Toc231028409"/>
      <w:bookmarkStart w:id="201" w:name="_Toc22905"/>
      <w:bookmarkStart w:id="202" w:name="_Toc453695710"/>
      <w:bookmarkStart w:id="203" w:name="_Toc237683960"/>
      <w:bookmarkStart w:id="204" w:name="_Toc237684321"/>
      <w:bookmarkStart w:id="205" w:name="_Toc461991242"/>
      <w:bookmarkStart w:id="206" w:name="_Toc24738"/>
      <w:bookmarkStart w:id="207" w:name="_Toc1392"/>
      <w:bookmarkStart w:id="208" w:name="_Toc22620"/>
      <w:bookmarkStart w:id="209" w:name="_Toc10862"/>
      <w:r>
        <w:rPr>
          <w:rFonts w:hint="eastAsia" w:cs="宋体"/>
          <w:color w:val="auto"/>
          <w:sz w:val="21"/>
          <w:szCs w:val="21"/>
        </w:rPr>
        <w:t>3.关于纪律</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13DF8CAF">
      <w:pPr>
        <w:adjustRightInd w:val="0"/>
        <w:spacing w:line="360" w:lineRule="auto"/>
        <w:ind w:firstLine="420" w:firstLineChars="200"/>
        <w:rPr>
          <w:rFonts w:ascii="宋体" w:hAnsi="宋体" w:cs="宋体"/>
          <w:bCs/>
          <w:color w:val="auto"/>
          <w:szCs w:val="21"/>
        </w:rPr>
      </w:pPr>
      <w:r>
        <w:rPr>
          <w:rFonts w:hint="eastAsia" w:ascii="宋体" w:hAnsi="宋体" w:cs="宋体"/>
          <w:bCs/>
          <w:color w:val="auto"/>
          <w:szCs w:val="21"/>
        </w:rPr>
        <w:t>（1）磋商小组成员不得与任何供应商或者与磋商结果有利害关系的人进行私下接触，不得收受供应商、中介人、其他利害关系人的财物或者其他好处；</w:t>
      </w:r>
    </w:p>
    <w:p w14:paraId="18A67828">
      <w:pPr>
        <w:adjustRightInd w:val="0"/>
        <w:spacing w:line="360" w:lineRule="auto"/>
        <w:ind w:firstLine="420" w:firstLineChars="200"/>
        <w:rPr>
          <w:rFonts w:ascii="宋体" w:hAnsi="宋体" w:cs="宋体"/>
          <w:bCs/>
          <w:color w:val="auto"/>
          <w:szCs w:val="21"/>
        </w:rPr>
      </w:pPr>
      <w:r>
        <w:rPr>
          <w:rFonts w:hint="eastAsia" w:ascii="宋体" w:hAnsi="宋体" w:cs="宋体"/>
          <w:bCs/>
          <w:color w:val="auto"/>
          <w:szCs w:val="21"/>
        </w:rPr>
        <w:t>（2）磋商小组成员应本着客观、公正的原则独立给出评价意见；</w:t>
      </w:r>
    </w:p>
    <w:p w14:paraId="5A75ED67">
      <w:pPr>
        <w:adjustRightInd w:val="0"/>
        <w:spacing w:line="360" w:lineRule="auto"/>
        <w:ind w:firstLine="420" w:firstLineChars="200"/>
        <w:rPr>
          <w:rFonts w:ascii="宋体" w:hAnsi="宋体" w:cs="宋体"/>
          <w:bCs/>
          <w:color w:val="auto"/>
          <w:szCs w:val="21"/>
        </w:rPr>
      </w:pPr>
      <w:r>
        <w:rPr>
          <w:rFonts w:hint="eastAsia" w:ascii="宋体" w:hAnsi="宋体" w:cs="宋体"/>
          <w:bCs/>
          <w:color w:val="auto"/>
          <w:szCs w:val="21"/>
        </w:rPr>
        <w:t>（3）磋商小组成员之间不得相互串通进行评分；</w:t>
      </w:r>
    </w:p>
    <w:p w14:paraId="751D3CEA">
      <w:pPr>
        <w:adjustRightInd w:val="0"/>
        <w:spacing w:line="360" w:lineRule="auto"/>
        <w:ind w:firstLine="420" w:firstLineChars="200"/>
        <w:rPr>
          <w:rFonts w:ascii="宋体" w:hAnsi="宋体" w:cs="宋体"/>
          <w:bCs/>
          <w:color w:val="auto"/>
          <w:szCs w:val="21"/>
        </w:rPr>
      </w:pPr>
      <w:r>
        <w:rPr>
          <w:rFonts w:hint="eastAsia" w:ascii="宋体" w:hAnsi="宋体" w:cs="宋体"/>
          <w:bCs/>
          <w:color w:val="auto"/>
          <w:szCs w:val="21"/>
        </w:rPr>
        <w:t>（4）磋商小组成员不得试图影响其他磋商小组成员的评价意见；</w:t>
      </w:r>
    </w:p>
    <w:p w14:paraId="7FC089BC">
      <w:pPr>
        <w:adjustRightInd w:val="0"/>
        <w:spacing w:line="360" w:lineRule="auto"/>
        <w:ind w:firstLine="420" w:firstLineChars="200"/>
        <w:rPr>
          <w:rFonts w:ascii="宋体" w:hAnsi="宋体" w:cs="宋体"/>
          <w:color w:val="auto"/>
          <w:szCs w:val="21"/>
        </w:rPr>
      </w:pPr>
      <w:r>
        <w:rPr>
          <w:rFonts w:hint="eastAsia" w:ascii="宋体" w:hAnsi="宋体" w:cs="宋体"/>
          <w:bCs/>
          <w:color w:val="auto"/>
          <w:szCs w:val="21"/>
        </w:rPr>
        <w:t>（5）磋商小组应关闭通讯工具或设置为振动状态，并统一交由工作人员保管</w:t>
      </w:r>
      <w:r>
        <w:rPr>
          <w:rFonts w:hint="eastAsia" w:ascii="宋体" w:hAnsi="宋体" w:cs="宋体"/>
          <w:color w:val="auto"/>
          <w:szCs w:val="21"/>
        </w:rPr>
        <w:t>。</w:t>
      </w:r>
    </w:p>
    <w:p w14:paraId="34EF5031">
      <w:pPr>
        <w:pStyle w:val="3"/>
        <w:spacing w:before="120" w:after="120"/>
        <w:ind w:right="678" w:rightChars="323"/>
        <w:rPr>
          <w:rFonts w:cs="宋体"/>
          <w:color w:val="auto"/>
          <w:sz w:val="21"/>
          <w:szCs w:val="21"/>
        </w:rPr>
      </w:pPr>
      <w:bookmarkStart w:id="210" w:name="_Toc183338099"/>
      <w:bookmarkStart w:id="211" w:name="_Toc28616"/>
      <w:bookmarkStart w:id="212" w:name="_Toc231028410"/>
      <w:bookmarkStart w:id="213" w:name="_Toc338083288"/>
      <w:bookmarkStart w:id="214" w:name="_Toc21683"/>
      <w:bookmarkStart w:id="215" w:name="_Toc11558"/>
      <w:bookmarkStart w:id="216" w:name="_Toc238275023"/>
      <w:bookmarkStart w:id="217" w:name="_Toc23134"/>
      <w:bookmarkStart w:id="218" w:name="_Toc5332"/>
      <w:bookmarkStart w:id="219" w:name="_Toc231010457"/>
      <w:bookmarkStart w:id="220" w:name="_Toc237683961"/>
      <w:bookmarkStart w:id="221" w:name="_Toc1989"/>
      <w:bookmarkStart w:id="222" w:name="_Toc24672"/>
      <w:bookmarkStart w:id="223" w:name="_Toc453695711"/>
      <w:bookmarkStart w:id="224" w:name="_Toc453695584"/>
      <w:bookmarkStart w:id="225" w:name="_Toc185746883"/>
      <w:bookmarkStart w:id="226" w:name="_Toc234746299"/>
      <w:bookmarkStart w:id="227" w:name="_Toc31184"/>
      <w:bookmarkStart w:id="228" w:name="_Toc13352"/>
      <w:bookmarkStart w:id="229" w:name="_Toc461991243"/>
      <w:bookmarkStart w:id="230" w:name="_Toc237684322"/>
      <w:bookmarkStart w:id="231" w:name="_Toc238274905"/>
      <w:r>
        <w:rPr>
          <w:rFonts w:hint="eastAsia" w:cs="宋体"/>
          <w:color w:val="auto"/>
          <w:sz w:val="21"/>
          <w:szCs w:val="21"/>
        </w:rPr>
        <w:t>4.关于回避</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371DD875">
      <w:pPr>
        <w:spacing w:line="360" w:lineRule="auto"/>
        <w:ind w:right="678" w:rightChars="323" w:firstLine="420" w:firstLineChars="200"/>
        <w:rPr>
          <w:rFonts w:ascii="宋体" w:hAnsi="宋体" w:cs="宋体"/>
          <w:color w:val="auto"/>
          <w:szCs w:val="21"/>
        </w:rPr>
      </w:pPr>
      <w:r>
        <w:rPr>
          <w:rFonts w:hint="eastAsia" w:ascii="宋体" w:hAnsi="宋体" w:cs="宋体"/>
          <w:color w:val="auto"/>
          <w:szCs w:val="21"/>
        </w:rPr>
        <w:t>有下列情形之一的，不得担任磋商小组成员，如事先不知情的，应在采购代理机构宣读供应商名单及工作纪律后主动提出回避：</w:t>
      </w:r>
      <w:bookmarkStart w:id="232" w:name="_Toc185746884"/>
      <w:bookmarkStart w:id="233" w:name="_Toc231028411"/>
      <w:bookmarkStart w:id="234" w:name="_Toc238275024"/>
      <w:bookmarkStart w:id="235" w:name="_Toc231010458"/>
      <w:bookmarkStart w:id="236" w:name="_Toc237684323"/>
      <w:bookmarkStart w:id="237" w:name="_Toc461991244"/>
      <w:bookmarkStart w:id="238" w:name="_Toc238274906"/>
      <w:bookmarkStart w:id="239" w:name="_Toc183338100"/>
      <w:bookmarkStart w:id="240" w:name="_Toc237683962"/>
      <w:bookmarkStart w:id="241" w:name="_Toc338083289"/>
      <w:bookmarkStart w:id="242" w:name="_Toc453695585"/>
      <w:bookmarkStart w:id="243" w:name="_Toc453695712"/>
      <w:bookmarkStart w:id="244" w:name="_Toc234746300"/>
    </w:p>
    <w:p w14:paraId="31F8C145">
      <w:pPr>
        <w:numPr>
          <w:ilvl w:val="0"/>
          <w:numId w:val="7"/>
        </w:numPr>
        <w:spacing w:line="360" w:lineRule="auto"/>
        <w:ind w:right="678" w:rightChars="323" w:firstLine="420" w:firstLineChars="200"/>
        <w:rPr>
          <w:rFonts w:ascii="宋体" w:hAnsi="宋体" w:cs="宋体"/>
          <w:color w:val="auto"/>
          <w:szCs w:val="21"/>
        </w:rPr>
      </w:pPr>
      <w:r>
        <w:rPr>
          <w:rFonts w:hint="eastAsia" w:ascii="宋体" w:hAnsi="宋体" w:cs="宋体"/>
          <w:color w:val="auto"/>
          <w:szCs w:val="21"/>
        </w:rPr>
        <w:t>参加采购活动前三年内，与供应商存在劳动关系，或者担任过供应商的董事、监事，或者是供应商的控股股东或实际控制人；</w:t>
      </w:r>
    </w:p>
    <w:p w14:paraId="012D05D1">
      <w:pPr>
        <w:numPr>
          <w:ilvl w:val="0"/>
          <w:numId w:val="7"/>
        </w:numPr>
        <w:spacing w:line="360" w:lineRule="auto"/>
        <w:ind w:right="678" w:rightChars="323" w:firstLine="420" w:firstLineChars="200"/>
        <w:rPr>
          <w:rFonts w:ascii="宋体" w:hAnsi="宋体" w:cs="宋体"/>
          <w:color w:val="auto"/>
          <w:szCs w:val="21"/>
        </w:rPr>
      </w:pPr>
      <w:r>
        <w:rPr>
          <w:rFonts w:hint="eastAsia" w:ascii="宋体" w:hAnsi="宋体" w:cs="宋体"/>
          <w:color w:val="auto"/>
          <w:szCs w:val="21"/>
        </w:rPr>
        <w:t>与供应商的法定代表人或者负责人有夫妻、直系血亲、三代以内旁系血亲或者近姻亲关系；</w:t>
      </w:r>
    </w:p>
    <w:p w14:paraId="7802014A">
      <w:pPr>
        <w:numPr>
          <w:ilvl w:val="0"/>
          <w:numId w:val="7"/>
        </w:numPr>
        <w:spacing w:line="360" w:lineRule="auto"/>
        <w:ind w:right="678" w:rightChars="323" w:firstLine="420" w:firstLineChars="200"/>
        <w:rPr>
          <w:rFonts w:ascii="宋体" w:hAnsi="宋体" w:cs="宋体"/>
          <w:color w:val="auto"/>
          <w:szCs w:val="21"/>
        </w:rPr>
      </w:pPr>
      <w:r>
        <w:rPr>
          <w:rFonts w:hint="eastAsia" w:ascii="宋体" w:hAnsi="宋体" w:cs="宋体"/>
          <w:color w:val="auto"/>
          <w:szCs w:val="21"/>
        </w:rPr>
        <w:t>与供应商有其他可能影响采购活动公平、公正进行的关系。</w:t>
      </w:r>
    </w:p>
    <w:p w14:paraId="00232BF1">
      <w:pPr>
        <w:spacing w:line="360" w:lineRule="auto"/>
        <w:ind w:firstLine="420" w:firstLineChars="200"/>
        <w:jc w:val="left"/>
        <w:outlineLvl w:val="1"/>
        <w:rPr>
          <w:rFonts w:ascii="宋体" w:hAnsi="宋体" w:cs="宋体"/>
          <w:color w:val="auto"/>
          <w:szCs w:val="21"/>
        </w:rPr>
      </w:pPr>
      <w:r>
        <w:rPr>
          <w:rFonts w:hint="eastAsia" w:ascii="宋体" w:hAnsi="宋体" w:cs="宋体"/>
          <w:color w:val="auto"/>
          <w:szCs w:val="21"/>
        </w:rPr>
        <w:t>评审专家发现本人与参加采购活动的供应商有利害关系的，应当主动提出回避。采购人或者采购代理机构发现评审专家与参加采购活动的供应商有利害关系的，应当要求其回避。</w:t>
      </w:r>
    </w:p>
    <w:p w14:paraId="751FA53C">
      <w:pPr>
        <w:spacing w:line="360" w:lineRule="auto"/>
        <w:ind w:firstLine="420" w:firstLineChars="200"/>
        <w:jc w:val="left"/>
        <w:outlineLvl w:val="1"/>
        <w:rPr>
          <w:rFonts w:ascii="宋体" w:hAnsi="宋体" w:cs="宋体"/>
          <w:color w:val="auto"/>
          <w:szCs w:val="21"/>
        </w:rPr>
      </w:pPr>
      <w:r>
        <w:rPr>
          <w:rFonts w:hint="eastAsia" w:ascii="宋体" w:hAnsi="宋体" w:cs="宋体"/>
          <w:color w:val="auto"/>
          <w:szCs w:val="21"/>
        </w:rPr>
        <w:t>评审专家对本单位的采购项目只能作为采购人代表参与评审活动。</w:t>
      </w:r>
    </w:p>
    <w:p w14:paraId="0455C8C2">
      <w:pPr>
        <w:spacing w:line="360" w:lineRule="auto"/>
        <w:ind w:firstLine="420" w:firstLineChars="200"/>
        <w:jc w:val="left"/>
        <w:outlineLvl w:val="1"/>
        <w:rPr>
          <w:rFonts w:ascii="宋体" w:hAnsi="宋体" w:cs="宋体"/>
          <w:color w:val="auto"/>
          <w:szCs w:val="21"/>
        </w:rPr>
      </w:pPr>
      <w:r>
        <w:rPr>
          <w:rFonts w:hint="eastAsia" w:ascii="宋体" w:hAnsi="宋体" w:cs="宋体"/>
          <w:color w:val="auto"/>
          <w:szCs w:val="21"/>
        </w:rPr>
        <w:t>采购监督管理工作人员，不得作为评审专家参与采购项目的评审活动。</w:t>
      </w:r>
    </w:p>
    <w:p w14:paraId="12F1E626">
      <w:pPr>
        <w:pStyle w:val="3"/>
        <w:spacing w:before="120" w:after="120"/>
        <w:ind w:right="678" w:rightChars="323"/>
        <w:rPr>
          <w:rFonts w:cs="宋体"/>
          <w:color w:val="auto"/>
          <w:sz w:val="21"/>
          <w:szCs w:val="21"/>
        </w:rPr>
      </w:pPr>
      <w:bookmarkStart w:id="245" w:name="_Toc8878"/>
      <w:bookmarkStart w:id="246" w:name="_Toc17140"/>
      <w:bookmarkStart w:id="247" w:name="_Toc16884"/>
      <w:bookmarkStart w:id="248" w:name="_Toc7176"/>
      <w:bookmarkStart w:id="249" w:name="_Toc5980"/>
      <w:bookmarkStart w:id="250" w:name="_Toc9954"/>
      <w:bookmarkStart w:id="251" w:name="_Toc31683"/>
      <w:bookmarkStart w:id="252" w:name="_Toc4470"/>
      <w:bookmarkStart w:id="253" w:name="_Toc22292"/>
      <w:r>
        <w:rPr>
          <w:rFonts w:hint="eastAsia" w:cs="宋体"/>
          <w:color w:val="auto"/>
          <w:sz w:val="21"/>
          <w:szCs w:val="21"/>
        </w:rPr>
        <w:t>5.关于磋商</w:t>
      </w:r>
      <w:r>
        <w:rPr>
          <w:rFonts w:hint="eastAsia" w:cs="宋体"/>
          <w:bCs/>
          <w:color w:val="auto"/>
          <w:sz w:val="21"/>
          <w:szCs w:val="21"/>
        </w:rPr>
        <w:t>小组成员</w:t>
      </w:r>
      <w:r>
        <w:rPr>
          <w:rFonts w:hint="eastAsia" w:cs="宋体"/>
          <w:color w:val="auto"/>
          <w:sz w:val="21"/>
          <w:szCs w:val="21"/>
        </w:rPr>
        <w:t>责任</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C544861">
      <w:pPr>
        <w:spacing w:line="360" w:lineRule="auto"/>
        <w:ind w:right="678" w:rightChars="323" w:firstLine="420" w:firstLineChars="200"/>
        <w:rPr>
          <w:rFonts w:ascii="宋体" w:hAnsi="宋体" w:cs="宋体"/>
          <w:color w:val="auto"/>
          <w:szCs w:val="21"/>
        </w:rPr>
      </w:pPr>
      <w:r>
        <w:rPr>
          <w:rFonts w:hint="eastAsia" w:ascii="宋体" w:hAnsi="宋体" w:cs="宋体"/>
          <w:color w:val="auto"/>
          <w:szCs w:val="21"/>
        </w:rPr>
        <w:t>（1）磋商</w:t>
      </w:r>
      <w:r>
        <w:rPr>
          <w:rFonts w:hint="eastAsia" w:ascii="宋体" w:hAnsi="宋体" w:cs="宋体"/>
          <w:bCs/>
          <w:color w:val="auto"/>
          <w:szCs w:val="21"/>
        </w:rPr>
        <w:t>小组</w:t>
      </w:r>
      <w:r>
        <w:rPr>
          <w:rFonts w:hint="eastAsia" w:ascii="宋体" w:hAnsi="宋体" w:cs="宋体"/>
          <w:color w:val="auto"/>
          <w:szCs w:val="21"/>
        </w:rPr>
        <w:t>应在其书面意见上签名确认；</w:t>
      </w:r>
    </w:p>
    <w:p w14:paraId="2B4446B0">
      <w:pPr>
        <w:spacing w:line="360" w:lineRule="auto"/>
        <w:ind w:right="678" w:rightChars="323" w:firstLine="420" w:firstLineChars="200"/>
        <w:rPr>
          <w:rFonts w:ascii="宋体" w:hAnsi="宋体" w:cs="宋体"/>
          <w:color w:val="auto"/>
          <w:szCs w:val="21"/>
        </w:rPr>
      </w:pPr>
      <w:r>
        <w:rPr>
          <w:rFonts w:hint="eastAsia" w:ascii="宋体" w:hAnsi="宋体" w:cs="宋体"/>
          <w:color w:val="auto"/>
          <w:szCs w:val="21"/>
        </w:rPr>
        <w:t>（2）磋商</w:t>
      </w:r>
      <w:r>
        <w:rPr>
          <w:rFonts w:hint="eastAsia" w:ascii="宋体" w:hAnsi="宋体" w:cs="宋体"/>
          <w:bCs/>
          <w:color w:val="auto"/>
          <w:szCs w:val="21"/>
        </w:rPr>
        <w:t>小组</w:t>
      </w:r>
      <w:r>
        <w:rPr>
          <w:rFonts w:hint="eastAsia" w:ascii="宋体" w:hAnsi="宋体" w:cs="宋体"/>
          <w:color w:val="auto"/>
          <w:szCs w:val="21"/>
        </w:rPr>
        <w:t>对其所提出的意见承担个人责任。</w:t>
      </w:r>
    </w:p>
    <w:p w14:paraId="46A56879">
      <w:pPr>
        <w:pStyle w:val="3"/>
        <w:spacing w:before="120" w:after="120"/>
        <w:ind w:right="678" w:rightChars="323"/>
        <w:rPr>
          <w:rFonts w:cs="宋体"/>
          <w:color w:val="auto"/>
          <w:sz w:val="21"/>
          <w:szCs w:val="21"/>
        </w:rPr>
      </w:pPr>
      <w:bookmarkStart w:id="254" w:name="_Toc237683963"/>
      <w:bookmarkStart w:id="255" w:name="_Toc231028412"/>
      <w:bookmarkStart w:id="256" w:name="_Toc234746301"/>
      <w:bookmarkStart w:id="257" w:name="_Toc238274907"/>
      <w:bookmarkStart w:id="258" w:name="_Toc185746885"/>
      <w:bookmarkStart w:id="259" w:name="_Toc18211"/>
      <w:bookmarkStart w:id="260" w:name="_Toc16159"/>
      <w:bookmarkStart w:id="261" w:name="_Toc338083290"/>
      <w:bookmarkStart w:id="262" w:name="_Toc453695713"/>
      <w:bookmarkStart w:id="263" w:name="_Toc1664"/>
      <w:bookmarkStart w:id="264" w:name="_Toc237684324"/>
      <w:bookmarkStart w:id="265" w:name="_Toc14456"/>
      <w:bookmarkStart w:id="266" w:name="_Toc461991245"/>
      <w:bookmarkStart w:id="267" w:name="_Toc453695586"/>
      <w:bookmarkStart w:id="268" w:name="_Toc231010459"/>
      <w:bookmarkStart w:id="269" w:name="_Toc20434"/>
      <w:bookmarkStart w:id="270" w:name="_Toc238275025"/>
      <w:bookmarkStart w:id="271" w:name="_Toc31986"/>
      <w:bookmarkStart w:id="272" w:name="_Toc27056"/>
      <w:bookmarkStart w:id="273" w:name="_Toc3995"/>
      <w:bookmarkStart w:id="274" w:name="_Toc183338101"/>
      <w:bookmarkStart w:id="275" w:name="_Toc27184"/>
      <w:r>
        <w:rPr>
          <w:rFonts w:hint="eastAsia" w:cs="宋体"/>
          <w:color w:val="auto"/>
          <w:sz w:val="21"/>
          <w:szCs w:val="21"/>
        </w:rPr>
        <w:t>6．关于保密</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5C987527">
      <w:pPr>
        <w:adjustRightInd w:val="0"/>
        <w:spacing w:line="360" w:lineRule="auto"/>
        <w:ind w:firstLine="420" w:firstLineChars="200"/>
        <w:rPr>
          <w:rFonts w:ascii="宋体" w:hAnsi="宋体" w:cs="宋体"/>
          <w:bCs/>
          <w:color w:val="auto"/>
          <w:szCs w:val="21"/>
        </w:rPr>
      </w:pPr>
      <w:r>
        <w:rPr>
          <w:rFonts w:hint="eastAsia" w:ascii="宋体" w:hAnsi="宋体" w:cs="宋体"/>
          <w:bCs/>
          <w:color w:val="auto"/>
          <w:szCs w:val="21"/>
        </w:rPr>
        <w:t>（1）磋商小组成员评审时，应各自独立进行评审，不得发表任何具有倾向性、诱导性或歧视性的见解，不得对其他评委的评审意见施加任何影响；</w:t>
      </w:r>
    </w:p>
    <w:p w14:paraId="6431E9B7">
      <w:pPr>
        <w:adjustRightInd w:val="0"/>
        <w:spacing w:line="360" w:lineRule="auto"/>
        <w:ind w:firstLine="420" w:firstLineChars="200"/>
        <w:rPr>
          <w:rFonts w:ascii="宋体" w:hAnsi="宋体" w:cs="宋体"/>
          <w:bCs/>
          <w:color w:val="auto"/>
          <w:szCs w:val="21"/>
        </w:rPr>
      </w:pPr>
      <w:r>
        <w:rPr>
          <w:rFonts w:hint="eastAsia" w:ascii="宋体" w:hAnsi="宋体" w:cs="宋体"/>
          <w:bCs/>
          <w:color w:val="auto"/>
          <w:szCs w:val="21"/>
        </w:rPr>
        <w:t>（2）磋商小组成员和与磋商活动有关的工作人员不得透露对响应文件的评审和比较、成交供应商候选人的推荐情况以及磋商有关的其他情况；</w:t>
      </w:r>
    </w:p>
    <w:p w14:paraId="7224B9DC">
      <w:pPr>
        <w:adjustRightInd w:val="0"/>
        <w:spacing w:line="360" w:lineRule="auto"/>
        <w:ind w:firstLine="420" w:firstLineChars="200"/>
        <w:rPr>
          <w:rFonts w:ascii="宋体" w:hAnsi="宋体" w:cs="宋体"/>
          <w:color w:val="auto"/>
          <w:szCs w:val="21"/>
        </w:rPr>
      </w:pPr>
      <w:r>
        <w:rPr>
          <w:rFonts w:hint="eastAsia" w:ascii="宋体" w:hAnsi="宋体" w:cs="宋体"/>
          <w:bCs/>
          <w:color w:val="auto"/>
          <w:szCs w:val="21"/>
        </w:rPr>
        <w:t>（3）前款所称与磋商活动有关的工作人员，是指磋商小组成员以外的因参与磋商监</w:t>
      </w:r>
      <w:r>
        <w:rPr>
          <w:rFonts w:hint="eastAsia" w:ascii="宋体" w:hAnsi="宋体" w:cs="宋体"/>
          <w:color w:val="auto"/>
          <w:szCs w:val="21"/>
        </w:rPr>
        <w:t>督工作或者事务性工作而知悉有关磋商情况的所有人员。</w:t>
      </w:r>
    </w:p>
    <w:p w14:paraId="63A886CD">
      <w:pPr>
        <w:pStyle w:val="2"/>
        <w:spacing w:before="120" w:after="120" w:line="360" w:lineRule="auto"/>
        <w:ind w:right="678" w:rightChars="323"/>
        <w:rPr>
          <w:rFonts w:ascii="宋体" w:hAnsi="宋体" w:cs="宋体"/>
          <w:color w:val="auto"/>
          <w:sz w:val="21"/>
          <w:szCs w:val="21"/>
        </w:rPr>
      </w:pPr>
      <w:bookmarkStart w:id="276" w:name="_Toc2765"/>
      <w:bookmarkStart w:id="277" w:name="_Toc183338102"/>
      <w:bookmarkStart w:id="278" w:name="_Toc461991246"/>
      <w:bookmarkStart w:id="279" w:name="_Toc15812"/>
      <w:bookmarkStart w:id="280" w:name="_Toc238275026"/>
      <w:bookmarkStart w:id="281" w:name="_Toc231028413"/>
      <w:bookmarkStart w:id="282" w:name="_Toc453695587"/>
      <w:bookmarkStart w:id="283" w:name="_Toc13711"/>
      <w:bookmarkStart w:id="284" w:name="_Toc453695714"/>
      <w:bookmarkStart w:id="285" w:name="_Toc8624"/>
      <w:bookmarkStart w:id="286" w:name="_Toc9829"/>
      <w:bookmarkStart w:id="287" w:name="_Toc6469"/>
      <w:bookmarkStart w:id="288" w:name="_Toc237684325"/>
      <w:bookmarkStart w:id="289" w:name="_Toc3118"/>
      <w:bookmarkStart w:id="290" w:name="_Toc238274908"/>
      <w:bookmarkStart w:id="291" w:name="_Toc234746302"/>
      <w:bookmarkStart w:id="292" w:name="_Toc237683964"/>
      <w:bookmarkStart w:id="293" w:name="_Toc338083291"/>
      <w:bookmarkStart w:id="294" w:name="_Toc12987"/>
      <w:bookmarkStart w:id="295" w:name="_Toc1891"/>
      <w:r>
        <w:rPr>
          <w:rFonts w:hint="eastAsia" w:ascii="宋体" w:hAnsi="宋体" w:cs="宋体"/>
          <w:color w:val="auto"/>
          <w:sz w:val="21"/>
          <w:szCs w:val="21"/>
        </w:rPr>
        <w:t>三、磋商原则</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0F499196">
      <w:pPr>
        <w:spacing w:line="360" w:lineRule="auto"/>
        <w:ind w:right="678" w:rightChars="323" w:firstLine="420" w:firstLineChars="200"/>
        <w:rPr>
          <w:rFonts w:ascii="宋体" w:hAnsi="宋体" w:cs="宋体"/>
          <w:color w:val="auto"/>
          <w:szCs w:val="21"/>
        </w:rPr>
      </w:pPr>
      <w:r>
        <w:rPr>
          <w:rFonts w:hint="eastAsia" w:ascii="宋体" w:hAnsi="宋体" w:cs="宋体"/>
          <w:color w:val="auto"/>
          <w:szCs w:val="21"/>
        </w:rPr>
        <w:t>磋商工作应依据国家和地方有关规定，遵循“公平、公正、科学、择优”的原则进行。</w:t>
      </w:r>
    </w:p>
    <w:p w14:paraId="695BDF3D">
      <w:pPr>
        <w:pStyle w:val="2"/>
        <w:spacing w:before="120" w:after="120" w:line="360" w:lineRule="auto"/>
        <w:ind w:right="678" w:rightChars="323"/>
        <w:rPr>
          <w:rFonts w:ascii="宋体" w:hAnsi="宋体" w:cs="宋体"/>
          <w:color w:val="auto"/>
          <w:sz w:val="21"/>
          <w:szCs w:val="21"/>
        </w:rPr>
      </w:pPr>
      <w:bookmarkStart w:id="296" w:name="_Toc183338103"/>
      <w:bookmarkStart w:id="297" w:name="_Toc234746303"/>
      <w:bookmarkStart w:id="298" w:name="_Toc15014"/>
      <w:bookmarkStart w:id="299" w:name="_Toc3028"/>
      <w:bookmarkStart w:id="300" w:name="_Toc7260"/>
      <w:bookmarkStart w:id="301" w:name="_Toc231028414"/>
      <w:bookmarkStart w:id="302" w:name="_Toc11002"/>
      <w:bookmarkStart w:id="303" w:name="_Toc338083292"/>
      <w:bookmarkStart w:id="304" w:name="_Toc453695588"/>
      <w:bookmarkStart w:id="305" w:name="_Toc10378"/>
      <w:bookmarkStart w:id="306" w:name="_Toc3415"/>
      <w:bookmarkStart w:id="307" w:name="_Toc453695715"/>
      <w:bookmarkStart w:id="308" w:name="_Toc17292"/>
      <w:bookmarkStart w:id="309" w:name="_Toc237684326"/>
      <w:bookmarkStart w:id="310" w:name="_Toc461991247"/>
      <w:bookmarkStart w:id="311" w:name="_Toc238274909"/>
      <w:bookmarkStart w:id="312" w:name="_Toc11045"/>
      <w:bookmarkStart w:id="313" w:name="_Toc10295"/>
      <w:bookmarkStart w:id="314" w:name="_Toc237683965"/>
      <w:bookmarkStart w:id="315" w:name="_Toc238275027"/>
      <w:r>
        <w:rPr>
          <w:rFonts w:hint="eastAsia" w:ascii="宋体" w:hAnsi="宋体" w:cs="宋体"/>
          <w:color w:val="auto"/>
          <w:sz w:val="21"/>
          <w:szCs w:val="21"/>
        </w:rPr>
        <w:t>四、磋商流程</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149FEB91">
      <w:pPr>
        <w:pStyle w:val="3"/>
        <w:spacing w:before="120" w:after="120"/>
        <w:ind w:right="678" w:rightChars="323"/>
        <w:rPr>
          <w:rFonts w:cs="宋体"/>
          <w:color w:val="auto"/>
          <w:sz w:val="21"/>
          <w:szCs w:val="21"/>
        </w:rPr>
      </w:pPr>
      <w:bookmarkStart w:id="316" w:name="_Toc234746304"/>
      <w:bookmarkStart w:id="317" w:name="_Toc13007"/>
      <w:bookmarkStart w:id="318" w:name="_Toc461991248"/>
      <w:bookmarkStart w:id="319" w:name="_Toc237683966"/>
      <w:bookmarkStart w:id="320" w:name="_Toc185746888"/>
      <w:bookmarkStart w:id="321" w:name="_Toc183338104"/>
      <w:bookmarkStart w:id="322" w:name="_Toc238274910"/>
      <w:bookmarkStart w:id="323" w:name="_Toc453695589"/>
      <w:bookmarkStart w:id="324" w:name="_Toc231028415"/>
      <w:bookmarkStart w:id="325" w:name="_Toc453695716"/>
      <w:bookmarkStart w:id="326" w:name="_Toc238275028"/>
      <w:bookmarkStart w:id="327" w:name="_Toc231010462"/>
      <w:bookmarkStart w:id="328" w:name="_Toc31156"/>
      <w:bookmarkStart w:id="329" w:name="_Toc237684327"/>
      <w:bookmarkStart w:id="330" w:name="_Toc338083293"/>
      <w:bookmarkStart w:id="331" w:name="_Toc18879"/>
      <w:bookmarkStart w:id="332" w:name="_Toc3563"/>
      <w:bookmarkStart w:id="333" w:name="_Toc28524"/>
      <w:bookmarkStart w:id="334" w:name="_Toc15364"/>
      <w:bookmarkStart w:id="335" w:name="_Toc27266"/>
      <w:bookmarkStart w:id="336" w:name="_Toc1845"/>
      <w:bookmarkStart w:id="337" w:name="_Toc26709"/>
      <w:r>
        <w:rPr>
          <w:rFonts w:hint="eastAsia" w:cs="宋体"/>
          <w:color w:val="auto"/>
          <w:sz w:val="21"/>
          <w:szCs w:val="21"/>
        </w:rPr>
        <w:t>1.递交及接收</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rFonts w:hint="eastAsia" w:cs="宋体"/>
          <w:color w:val="auto"/>
          <w:sz w:val="21"/>
          <w:szCs w:val="21"/>
        </w:rPr>
        <w:t>响应文件</w:t>
      </w:r>
      <w:bookmarkEnd w:id="331"/>
      <w:bookmarkEnd w:id="332"/>
      <w:bookmarkEnd w:id="333"/>
      <w:bookmarkEnd w:id="334"/>
      <w:bookmarkEnd w:id="335"/>
      <w:bookmarkEnd w:id="336"/>
      <w:bookmarkEnd w:id="337"/>
    </w:p>
    <w:p w14:paraId="033558E9">
      <w:pPr>
        <w:spacing w:line="360" w:lineRule="auto"/>
        <w:ind w:right="678" w:rightChars="323" w:firstLine="420" w:firstLineChars="200"/>
        <w:rPr>
          <w:rFonts w:ascii="宋体" w:hAnsi="宋体" w:cs="宋体"/>
          <w:color w:val="auto"/>
          <w:szCs w:val="21"/>
        </w:rPr>
      </w:pPr>
      <w:r>
        <w:rPr>
          <w:rFonts w:hint="eastAsia" w:ascii="宋体" w:hAnsi="宋体" w:cs="宋体"/>
          <w:color w:val="auto"/>
          <w:szCs w:val="21"/>
        </w:rPr>
        <w:t>1.1采购代理机构按《</w:t>
      </w:r>
      <w:r>
        <w:rPr>
          <w:rFonts w:hint="eastAsia" w:ascii="宋体" w:hAnsi="宋体" w:cs="宋体"/>
          <w:color w:val="auto"/>
          <w:szCs w:val="21"/>
          <w:lang w:eastAsia="zh-CN"/>
        </w:rPr>
        <w:t>采购文件</w:t>
      </w:r>
      <w:r>
        <w:rPr>
          <w:rFonts w:hint="eastAsia" w:ascii="宋体" w:hAnsi="宋体" w:cs="宋体"/>
          <w:color w:val="auto"/>
          <w:szCs w:val="21"/>
        </w:rPr>
        <w:t>》规定的时间和地点接收响应文件和组织磋商会。采购代理机构负责做好磋商会有关记录，对于首次报价，采购代理机构将不予公开，由供应商法定代表人或其授权代表人签名确认。供应商不派出其授权代表参加开标会的，视为完全同意开标内容及对开标会过程无异议。</w:t>
      </w:r>
    </w:p>
    <w:p w14:paraId="1145DCD2">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1.2 响应供应商授权代表必须持本人身份证原件参加磋商会，如响应供应商代表非法定代表人，还应持法定代表人授权委托书。</w:t>
      </w:r>
    </w:p>
    <w:p w14:paraId="113535EA">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1.3 开封响应文件前，由响应供应商代表（按签到先后顺序的前三家响应供应商代表）检查磋商响应文件的密封情况，也可以由采购人委托的机构检查并见证，经确认无误后按响应供应商的授权代表签到的先后顺序决定磋商顺序。</w:t>
      </w:r>
    </w:p>
    <w:p w14:paraId="23A68CCC">
      <w:pPr>
        <w:pStyle w:val="3"/>
        <w:spacing w:before="120" w:after="120"/>
        <w:ind w:right="678" w:rightChars="323"/>
        <w:rPr>
          <w:rFonts w:cs="宋体"/>
          <w:color w:val="auto"/>
          <w:sz w:val="21"/>
          <w:szCs w:val="21"/>
        </w:rPr>
      </w:pPr>
      <w:bookmarkStart w:id="338" w:name="_Toc453695719"/>
      <w:bookmarkStart w:id="339" w:name="_Toc453695592"/>
      <w:bookmarkStart w:id="340" w:name="_Toc20764"/>
      <w:bookmarkStart w:id="341" w:name="_Toc4637"/>
      <w:bookmarkStart w:id="342" w:name="_Toc29848"/>
      <w:bookmarkStart w:id="343" w:name="_Toc461991249"/>
      <w:bookmarkStart w:id="344" w:name="_Toc1354"/>
      <w:bookmarkStart w:id="345" w:name="_Toc22115"/>
      <w:bookmarkStart w:id="346" w:name="_Toc27608"/>
      <w:bookmarkStart w:id="347" w:name="_Toc7153"/>
      <w:bookmarkStart w:id="348" w:name="_Toc5476"/>
      <w:bookmarkStart w:id="349" w:name="_Toc10022"/>
      <w:r>
        <w:rPr>
          <w:rFonts w:hint="eastAsia" w:cs="宋体"/>
          <w:color w:val="auto"/>
          <w:sz w:val="21"/>
          <w:szCs w:val="21"/>
        </w:rPr>
        <w:t>2、磋商</w:t>
      </w:r>
      <w:bookmarkEnd w:id="338"/>
      <w:bookmarkEnd w:id="339"/>
      <w:r>
        <w:rPr>
          <w:rFonts w:hint="eastAsia" w:cs="宋体"/>
          <w:color w:val="auto"/>
          <w:sz w:val="21"/>
          <w:szCs w:val="21"/>
        </w:rPr>
        <w:t>说明</w:t>
      </w:r>
      <w:bookmarkEnd w:id="340"/>
      <w:bookmarkEnd w:id="341"/>
      <w:bookmarkEnd w:id="342"/>
      <w:bookmarkEnd w:id="343"/>
      <w:bookmarkEnd w:id="344"/>
      <w:bookmarkEnd w:id="345"/>
      <w:bookmarkEnd w:id="346"/>
      <w:bookmarkEnd w:id="347"/>
      <w:bookmarkEnd w:id="348"/>
      <w:bookmarkEnd w:id="349"/>
    </w:p>
    <w:p w14:paraId="05484BB4">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2.1磋商小组应当对响应文件进行评审。进行初步评审时，磋商小组共同审查每份响应文件是否符合《资格性审查表》及《符合性审查表》的要求，未实质性响应</w:t>
      </w:r>
      <w:r>
        <w:rPr>
          <w:rFonts w:hint="eastAsia" w:ascii="宋体" w:hAnsi="宋体" w:cs="宋体"/>
          <w:color w:val="auto"/>
          <w:szCs w:val="21"/>
          <w:lang w:eastAsia="zh-CN"/>
        </w:rPr>
        <w:t>采购文件</w:t>
      </w:r>
      <w:r>
        <w:rPr>
          <w:rFonts w:hint="eastAsia" w:ascii="宋体" w:hAnsi="宋体" w:cs="宋体"/>
          <w:color w:val="auto"/>
          <w:szCs w:val="21"/>
        </w:rPr>
        <w:t>的响应文件按无效投标处理，磋商小组应当告知提交响应文件的供应商。</w:t>
      </w:r>
    </w:p>
    <w:p w14:paraId="7B869AD1">
      <w:pPr>
        <w:tabs>
          <w:tab w:val="left" w:pos="1050"/>
          <w:tab w:val="left" w:pos="1155"/>
        </w:tabs>
        <w:adjustRightIn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磋商过程中出现下列情况之一时，本项目作废标处理：</w:t>
      </w:r>
    </w:p>
    <w:p w14:paraId="555F892B">
      <w:pPr>
        <w:numPr>
          <w:ilvl w:val="0"/>
          <w:numId w:val="8"/>
        </w:numPr>
        <w:tabs>
          <w:tab w:val="left" w:pos="720"/>
        </w:tabs>
        <w:adjustRightInd w:val="0"/>
        <w:spacing w:line="360" w:lineRule="auto"/>
        <w:ind w:left="0" w:firstLine="420" w:firstLineChars="200"/>
        <w:rPr>
          <w:rFonts w:ascii="宋体" w:hAnsi="宋体" w:cs="宋体"/>
          <w:bCs/>
          <w:color w:val="auto"/>
          <w:szCs w:val="21"/>
        </w:rPr>
      </w:pPr>
      <w:r>
        <w:rPr>
          <w:rFonts w:hint="eastAsia" w:ascii="宋体" w:hAnsi="宋体" w:cs="宋体"/>
          <w:bCs/>
          <w:color w:val="auto"/>
          <w:szCs w:val="21"/>
        </w:rPr>
        <w:t>符合专业条件的供应商或者对响应文件作实质响应的供应商不足三家的；</w:t>
      </w:r>
    </w:p>
    <w:p w14:paraId="211304D5">
      <w:pPr>
        <w:numPr>
          <w:ilvl w:val="0"/>
          <w:numId w:val="8"/>
        </w:numPr>
        <w:tabs>
          <w:tab w:val="left" w:pos="720"/>
        </w:tabs>
        <w:adjustRightInd w:val="0"/>
        <w:spacing w:line="360" w:lineRule="auto"/>
        <w:ind w:left="0" w:firstLine="420" w:firstLineChars="200"/>
        <w:rPr>
          <w:rFonts w:ascii="宋体" w:hAnsi="宋体" w:cs="宋体"/>
          <w:bCs/>
          <w:color w:val="auto"/>
          <w:szCs w:val="21"/>
        </w:rPr>
      </w:pPr>
      <w:r>
        <w:rPr>
          <w:rFonts w:hint="eastAsia" w:ascii="宋体" w:hAnsi="宋体" w:cs="宋体"/>
          <w:bCs/>
          <w:color w:val="auto"/>
          <w:szCs w:val="21"/>
        </w:rPr>
        <w:t>供应商的报价均超过了采购预算，采购人不能支付的；</w:t>
      </w:r>
    </w:p>
    <w:p w14:paraId="4DADBE4D">
      <w:pPr>
        <w:numPr>
          <w:ilvl w:val="0"/>
          <w:numId w:val="8"/>
        </w:numPr>
        <w:tabs>
          <w:tab w:val="left" w:pos="720"/>
        </w:tabs>
        <w:adjustRightInd w:val="0"/>
        <w:spacing w:line="360" w:lineRule="auto"/>
        <w:ind w:left="0" w:firstLine="420" w:firstLineChars="200"/>
        <w:rPr>
          <w:rFonts w:ascii="宋体" w:hAnsi="宋体" w:cs="宋体"/>
          <w:bCs/>
          <w:color w:val="auto"/>
          <w:szCs w:val="21"/>
        </w:rPr>
      </w:pPr>
      <w:r>
        <w:rPr>
          <w:rFonts w:hint="eastAsia" w:ascii="宋体" w:hAnsi="宋体" w:cs="宋体"/>
          <w:bCs/>
          <w:color w:val="auto"/>
          <w:szCs w:val="21"/>
        </w:rPr>
        <w:t>因重大变故，采购任务取消的。</w:t>
      </w:r>
    </w:p>
    <w:p w14:paraId="36545DE9">
      <w:pPr>
        <w:autoSpaceDE w:val="0"/>
        <w:autoSpaceDN w:val="0"/>
        <w:adjustRightInd w:val="0"/>
        <w:spacing w:line="360" w:lineRule="auto"/>
        <w:ind w:firstLine="422" w:firstLineChars="200"/>
        <w:jc w:val="left"/>
        <w:rPr>
          <w:rFonts w:ascii="宋体" w:hAnsi="宋体" w:cs="宋体"/>
          <w:color w:val="auto"/>
          <w:szCs w:val="21"/>
        </w:rPr>
      </w:pPr>
      <w:r>
        <w:rPr>
          <w:rFonts w:hint="eastAsia" w:ascii="宋体" w:hAnsi="宋体" w:cs="宋体"/>
          <w:b/>
          <w:color w:val="auto"/>
          <w:szCs w:val="21"/>
        </w:rPr>
        <w:t>审查内容详见附表：</w:t>
      </w:r>
      <w:r>
        <w:rPr>
          <w:rFonts w:hint="eastAsia" w:ascii="宋体" w:hAnsi="宋体" w:cs="宋体"/>
          <w:b/>
          <w:color w:val="auto"/>
          <w:szCs w:val="24"/>
        </w:rPr>
        <w:t>资格性审查表、符合性审查表。</w:t>
      </w:r>
    </w:p>
    <w:p w14:paraId="18E179BA">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w:t>
      </w:r>
      <w:r>
        <w:rPr>
          <w:rFonts w:hint="eastAsia" w:ascii="宋体" w:hAnsi="宋体" w:cs="宋体"/>
          <w:bCs/>
          <w:color w:val="auto"/>
          <w:szCs w:val="21"/>
        </w:rPr>
        <w:t>将只对确定为实质上响应</w:t>
      </w:r>
      <w:r>
        <w:rPr>
          <w:rFonts w:hint="eastAsia" w:ascii="宋体" w:hAnsi="宋体" w:cs="宋体"/>
          <w:bCs/>
          <w:color w:val="auto"/>
          <w:szCs w:val="21"/>
          <w:lang w:eastAsia="zh-CN"/>
        </w:rPr>
        <w:t>采购文件</w:t>
      </w:r>
      <w:r>
        <w:rPr>
          <w:rFonts w:hint="eastAsia" w:ascii="宋体" w:hAnsi="宋体" w:cs="宋体"/>
          <w:bCs/>
          <w:color w:val="auto"/>
          <w:szCs w:val="21"/>
        </w:rPr>
        <w:t>要求的响应文件，即通过资格性、符合性审(检)查表的响应文件进行评价和比较。</w:t>
      </w:r>
    </w:p>
    <w:p w14:paraId="3C9CC814">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2.3对</w:t>
      </w:r>
      <w:r>
        <w:rPr>
          <w:rFonts w:hint="eastAsia" w:ascii="宋体" w:hAnsi="宋体" w:cs="宋体"/>
          <w:color w:val="auto"/>
          <w:szCs w:val="21"/>
          <w:lang w:eastAsia="zh-CN"/>
        </w:rPr>
        <w:t>采购文件</w:t>
      </w:r>
      <w:r>
        <w:rPr>
          <w:rFonts w:hint="eastAsia" w:ascii="宋体" w:hAnsi="宋体" w:cs="宋体"/>
          <w:color w:val="auto"/>
          <w:szCs w:val="21"/>
        </w:rPr>
        <w:t>中描述有歧义或前后不一致的地方，磋商小组有权进行评判，但对同一条款的评判应适用于每个响应供应商。</w:t>
      </w:r>
    </w:p>
    <w:p w14:paraId="61A5FC5D">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2.4磋商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087FA076">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2.5磋商小组所有成员应当集中与单一供应商分别进行磋商，并给予所有参加磋商的供应商平等的磋商机会，磋商内容形成磋商纪要文件。</w:t>
      </w:r>
    </w:p>
    <w:p w14:paraId="4653639C">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2.6在磋商过程中，磋商小组可以根据</w:t>
      </w:r>
      <w:r>
        <w:rPr>
          <w:rFonts w:hint="eastAsia" w:ascii="宋体" w:hAnsi="宋体" w:cs="宋体"/>
          <w:color w:val="auto"/>
          <w:szCs w:val="21"/>
          <w:lang w:eastAsia="zh-CN"/>
        </w:rPr>
        <w:t>采购文件</w:t>
      </w:r>
      <w:r>
        <w:rPr>
          <w:rFonts w:hint="eastAsia" w:ascii="宋体" w:hAnsi="宋体" w:cs="宋体"/>
          <w:color w:val="auto"/>
          <w:szCs w:val="21"/>
        </w:rPr>
        <w:t>和磋商情况实质性变动采购需求中的技术、服务要求以及合同草案条款，但不得变动</w:t>
      </w:r>
      <w:r>
        <w:rPr>
          <w:rFonts w:hint="eastAsia" w:ascii="宋体" w:hAnsi="宋体" w:cs="宋体"/>
          <w:color w:val="auto"/>
          <w:szCs w:val="21"/>
          <w:lang w:eastAsia="zh-CN"/>
        </w:rPr>
        <w:t>采购文件</w:t>
      </w:r>
      <w:r>
        <w:rPr>
          <w:rFonts w:hint="eastAsia" w:ascii="宋体" w:hAnsi="宋体" w:cs="宋体"/>
          <w:color w:val="auto"/>
          <w:szCs w:val="21"/>
        </w:rPr>
        <w:t>中的其他内容。实质性变动的内容，须经</w:t>
      </w:r>
      <w:r>
        <w:rPr>
          <w:rFonts w:hint="eastAsia" w:ascii="宋体" w:hAnsi="宋体" w:cs="宋体"/>
          <w:color w:val="auto"/>
        </w:rPr>
        <w:t>磋商小组的一致同意，任何形式的决定须以符合公平、公正原则和有利于项目的顺利实施为前提</w:t>
      </w:r>
      <w:r>
        <w:rPr>
          <w:rFonts w:hint="eastAsia" w:ascii="宋体" w:hAnsi="宋体" w:cs="宋体"/>
          <w:color w:val="auto"/>
          <w:szCs w:val="21"/>
        </w:rPr>
        <w:t>。</w:t>
      </w:r>
    </w:p>
    <w:p w14:paraId="50D58D94">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2.7对</w:t>
      </w:r>
      <w:r>
        <w:rPr>
          <w:rFonts w:hint="eastAsia" w:ascii="宋体" w:hAnsi="宋体" w:cs="宋体"/>
          <w:color w:val="auto"/>
          <w:szCs w:val="21"/>
          <w:lang w:eastAsia="zh-CN"/>
        </w:rPr>
        <w:t>采购文件</w:t>
      </w:r>
      <w:r>
        <w:rPr>
          <w:rFonts w:hint="eastAsia" w:ascii="宋体" w:hAnsi="宋体" w:cs="宋体"/>
          <w:color w:val="auto"/>
          <w:szCs w:val="21"/>
        </w:rPr>
        <w:t>作出的实质性变动是</w:t>
      </w:r>
      <w:r>
        <w:rPr>
          <w:rFonts w:hint="eastAsia" w:ascii="宋体" w:hAnsi="宋体" w:cs="宋体"/>
          <w:color w:val="auto"/>
          <w:szCs w:val="21"/>
          <w:lang w:eastAsia="zh-CN"/>
        </w:rPr>
        <w:t>采购文件</w:t>
      </w:r>
      <w:r>
        <w:rPr>
          <w:rFonts w:hint="eastAsia" w:ascii="宋体" w:hAnsi="宋体" w:cs="宋体"/>
          <w:color w:val="auto"/>
          <w:szCs w:val="21"/>
        </w:rPr>
        <w:t>的有效组成部分，磋商小组应当及时以书面形式同时通知所有参加磋商的供应商。</w:t>
      </w:r>
    </w:p>
    <w:p w14:paraId="0FFB243B">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2.8供应商应当按照</w:t>
      </w:r>
      <w:r>
        <w:rPr>
          <w:rFonts w:hint="eastAsia" w:ascii="宋体" w:hAnsi="宋体" w:cs="宋体"/>
          <w:color w:val="auto"/>
          <w:szCs w:val="21"/>
          <w:lang w:eastAsia="zh-CN"/>
        </w:rPr>
        <w:t>采购文件</w:t>
      </w:r>
      <w:r>
        <w:rPr>
          <w:rFonts w:hint="eastAsia" w:ascii="宋体" w:hAnsi="宋体" w:cs="宋体"/>
          <w:color w:val="auto"/>
          <w:szCs w:val="21"/>
        </w:rPr>
        <w:t>的变动情况和磋商小组的要求重新提交响应文件，并由其法定代表人或授权代表签名或者加盖公章。由授权代表签名的，应当附法定代表人授权书。供应商为自然人的，应当由本人签名并附身份证明。</w:t>
      </w:r>
    </w:p>
    <w:p w14:paraId="1D0B7B48">
      <w:pPr>
        <w:spacing w:line="360" w:lineRule="auto"/>
        <w:ind w:right="678" w:rightChars="323" w:firstLine="420" w:firstLineChars="200"/>
        <w:rPr>
          <w:rFonts w:ascii="宋体" w:hAnsi="宋体" w:cs="宋体"/>
          <w:color w:val="auto"/>
          <w:szCs w:val="21"/>
        </w:rPr>
      </w:pPr>
      <w:r>
        <w:rPr>
          <w:rFonts w:hint="eastAsia" w:ascii="宋体" w:hAnsi="宋体" w:cs="宋体"/>
          <w:color w:val="auto"/>
          <w:szCs w:val="21"/>
        </w:rPr>
        <w:t>2.9在磋商过程中，响应供应商提交的澄清、说明或者更正文件和最终响应文件，由响应供应商法人代表或授权代表签署后生效，响应供应商应受其约束。</w:t>
      </w:r>
    </w:p>
    <w:p w14:paraId="7D4CF5A4">
      <w:pPr>
        <w:autoSpaceDE w:val="0"/>
        <w:autoSpaceDN w:val="0"/>
        <w:adjustRightInd w:val="0"/>
        <w:spacing w:line="360" w:lineRule="auto"/>
        <w:ind w:right="678" w:rightChars="323" w:firstLine="420" w:firstLineChars="200"/>
        <w:jc w:val="left"/>
        <w:rPr>
          <w:rFonts w:hint="eastAsia" w:ascii="宋体" w:hAnsi="宋体" w:cs="宋体"/>
          <w:color w:val="auto"/>
          <w:szCs w:val="21"/>
        </w:rPr>
      </w:pPr>
      <w:r>
        <w:rPr>
          <w:rFonts w:hint="eastAsia" w:ascii="宋体" w:hAnsi="宋体" w:cs="宋体"/>
          <w:color w:val="auto"/>
          <w:szCs w:val="21"/>
        </w:rPr>
        <w:t>2.10已提交响应文件的供应商，在提交最后报价之前，可以根据磋商情况退出磋商。</w:t>
      </w:r>
    </w:p>
    <w:p w14:paraId="5B4C5F8E">
      <w:pPr>
        <w:autoSpaceDE w:val="0"/>
        <w:autoSpaceDN w:val="0"/>
        <w:adjustRightInd w:val="0"/>
        <w:spacing w:line="360" w:lineRule="auto"/>
        <w:ind w:right="678" w:rightChars="323" w:firstLine="420" w:firstLineChars="200"/>
        <w:jc w:val="left"/>
        <w:rPr>
          <w:rFonts w:ascii="宋体" w:hAnsi="宋体" w:cs="宋体"/>
          <w:b/>
          <w:bCs/>
          <w:color w:val="auto"/>
          <w:szCs w:val="21"/>
        </w:rPr>
      </w:pPr>
      <w:r>
        <w:rPr>
          <w:rFonts w:hint="eastAsia" w:ascii="宋体" w:hAnsi="宋体" w:cs="宋体"/>
          <w:color w:val="auto"/>
          <w:szCs w:val="21"/>
        </w:rPr>
        <w:t>2.11</w:t>
      </w:r>
      <w:r>
        <w:rPr>
          <w:rFonts w:hint="eastAsia" w:ascii="宋体" w:hAnsi="宋体" w:cs="宋体"/>
          <w:b/>
          <w:bCs/>
          <w:color w:val="auto"/>
          <w:szCs w:val="21"/>
        </w:rPr>
        <w:t>磋商结束后，磋商小组应当要求所有实质性响应的供应商在规定时间内提交最后报价及作出有关承诺。如磋商小组没有对</w:t>
      </w:r>
      <w:r>
        <w:rPr>
          <w:rFonts w:hint="eastAsia" w:ascii="宋体" w:hAnsi="宋体" w:cs="宋体"/>
          <w:b/>
          <w:bCs/>
          <w:color w:val="auto"/>
          <w:szCs w:val="21"/>
          <w:lang w:eastAsia="zh-CN"/>
        </w:rPr>
        <w:t>采购文件</w:t>
      </w:r>
      <w:r>
        <w:rPr>
          <w:rFonts w:hint="eastAsia" w:ascii="宋体" w:hAnsi="宋体" w:cs="宋体"/>
          <w:b/>
          <w:bCs/>
          <w:color w:val="auto"/>
          <w:szCs w:val="21"/>
        </w:rPr>
        <w:t>作实质性变动增加新的需求，第二次报价不得高于第一次报价。</w:t>
      </w:r>
      <w:r>
        <w:rPr>
          <w:rFonts w:hint="eastAsia" w:ascii="宋体" w:hAnsi="宋体" w:cs="宋体"/>
          <w:b/>
          <w:bCs/>
          <w:color w:val="auto"/>
        </w:rPr>
        <w:t>除非供应商另有说明，否则最终报价总价与第一次报价总价下浮的比例，其报价明细项按相同比例下浮。</w:t>
      </w:r>
    </w:p>
    <w:p w14:paraId="1FBBD667">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2.12经磋商确定最终采购需求和提交最后报价的供应商后，由磋商小组采用综合评分法对提交最后报价的供应商的响应文件和最后报价进行综合评分。</w:t>
      </w:r>
    </w:p>
    <w:p w14:paraId="0E0676A9">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2.13综合评分法，是指响应文件满足</w:t>
      </w:r>
      <w:r>
        <w:rPr>
          <w:rFonts w:hint="eastAsia" w:ascii="宋体" w:hAnsi="宋体" w:cs="宋体"/>
          <w:color w:val="auto"/>
          <w:szCs w:val="21"/>
          <w:lang w:eastAsia="zh-CN"/>
        </w:rPr>
        <w:t>采购文件</w:t>
      </w:r>
      <w:r>
        <w:rPr>
          <w:rFonts w:hint="eastAsia" w:ascii="宋体" w:hAnsi="宋体" w:cs="宋体"/>
          <w:color w:val="auto"/>
          <w:szCs w:val="21"/>
        </w:rPr>
        <w:t>全部实质性要求且按评审因素的量化指标评审得分最高的供应商为成交候选供应商的评审方法。磋商小组没有义务必须接受最低报价的供应商的报价。</w:t>
      </w:r>
    </w:p>
    <w:p w14:paraId="7BEE10BA">
      <w:pPr>
        <w:pStyle w:val="3"/>
        <w:spacing w:before="120" w:after="120"/>
        <w:ind w:right="678" w:rightChars="323"/>
        <w:rPr>
          <w:rFonts w:cs="宋体"/>
          <w:color w:val="auto"/>
          <w:sz w:val="21"/>
          <w:szCs w:val="21"/>
        </w:rPr>
      </w:pPr>
      <w:bookmarkStart w:id="350" w:name="_Toc1219"/>
      <w:bookmarkStart w:id="351" w:name="_Toc461991250"/>
      <w:bookmarkStart w:id="352" w:name="_Toc16699"/>
      <w:bookmarkStart w:id="353" w:name="_Toc11766"/>
      <w:bookmarkStart w:id="354" w:name="_Toc14666"/>
      <w:bookmarkStart w:id="355" w:name="_Toc17215"/>
      <w:bookmarkStart w:id="356" w:name="_Toc8643"/>
      <w:bookmarkStart w:id="357" w:name="_Toc30906"/>
      <w:bookmarkStart w:id="358" w:name="_Toc23366"/>
      <w:bookmarkStart w:id="359" w:name="_Toc26944"/>
      <w:r>
        <w:rPr>
          <w:rFonts w:hint="eastAsia" w:cs="宋体"/>
          <w:color w:val="auto"/>
          <w:sz w:val="21"/>
          <w:szCs w:val="21"/>
        </w:rPr>
        <w:t>3、评分及其统计</w:t>
      </w:r>
      <w:bookmarkEnd w:id="350"/>
      <w:bookmarkEnd w:id="351"/>
      <w:bookmarkEnd w:id="352"/>
      <w:bookmarkEnd w:id="353"/>
      <w:bookmarkEnd w:id="354"/>
      <w:bookmarkEnd w:id="355"/>
      <w:bookmarkEnd w:id="356"/>
      <w:bookmarkEnd w:id="357"/>
      <w:bookmarkEnd w:id="358"/>
      <w:bookmarkEnd w:id="359"/>
    </w:p>
    <w:p w14:paraId="306675F7">
      <w:pPr>
        <w:autoSpaceDE w:val="0"/>
        <w:autoSpaceDN w:val="0"/>
        <w:adjustRightInd w:val="0"/>
        <w:spacing w:line="360" w:lineRule="auto"/>
        <w:ind w:right="678" w:rightChars="323"/>
        <w:jc w:val="left"/>
        <w:rPr>
          <w:rFonts w:ascii="宋体" w:hAnsi="宋体" w:cs="宋体"/>
          <w:color w:val="auto"/>
          <w:szCs w:val="21"/>
        </w:rPr>
      </w:pPr>
      <w:r>
        <w:rPr>
          <w:rFonts w:hint="eastAsia" w:ascii="宋体" w:hAnsi="宋体" w:cs="宋体"/>
          <w:color w:val="auto"/>
          <w:szCs w:val="21"/>
        </w:rPr>
        <w:t>（1）计算综合得分</w:t>
      </w:r>
    </w:p>
    <w:p w14:paraId="2D58EE9D">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评审时，磋商小组各成员应当独立对每个有效响应的文件进行评价、打分，然后汇总每个供应商每项评分因素的得分。磋商小组全部成员分别计算商务和技术评分的算术平均值。然后，评出该响应供应商的价格评分。将各响应供应商的商务评分、技术评分和价格评分相加得出其综合得分。将各综合得分由高到低顺序排列，综合得分相同的，按下列顺序比较确定：（（1）评标价（由低到高）；（2）服务评分（由高到低）。如以上都相同的，名次由磋商小组抽签确定。第一成交供应商候选人不得随意放弃</w:t>
      </w:r>
      <w:r>
        <w:rPr>
          <w:rFonts w:hint="eastAsia" w:ascii="宋体" w:hAnsi="宋体" w:cs="宋体"/>
          <w:color w:val="auto"/>
          <w:szCs w:val="21"/>
          <w:lang w:val="en-US" w:eastAsia="zh-CN"/>
        </w:rPr>
        <w:t>成交</w:t>
      </w:r>
      <w:r>
        <w:rPr>
          <w:rFonts w:hint="eastAsia" w:ascii="宋体" w:hAnsi="宋体" w:cs="宋体"/>
          <w:color w:val="auto"/>
          <w:szCs w:val="21"/>
        </w:rPr>
        <w:t>资格。</w:t>
      </w:r>
    </w:p>
    <w:p w14:paraId="2D3214F6">
      <w:pPr>
        <w:numPr>
          <w:ilvl w:val="0"/>
          <w:numId w:val="0"/>
        </w:numPr>
        <w:spacing w:line="360" w:lineRule="auto"/>
        <w:rPr>
          <w:rFonts w:ascii="宋体" w:hAnsi="宋体" w:cs="宋体"/>
          <w:color w:val="auto"/>
        </w:rPr>
      </w:pPr>
      <w:r>
        <w:rPr>
          <w:rFonts w:ascii="宋体" w:hAnsi="宋体" w:eastAsia="宋体" w:cs="宋体"/>
          <w:color w:val="auto"/>
          <w:kern w:val="2"/>
          <w:sz w:val="21"/>
          <w:lang w:val="en-US" w:eastAsia="zh-CN" w:bidi="ar-SA"/>
        </w:rPr>
        <w:t>（2）</w:t>
      </w:r>
      <w:r>
        <w:rPr>
          <w:rFonts w:hint="eastAsia" w:ascii="宋体" w:hAnsi="宋体" w:cs="宋体"/>
          <w:color w:val="auto"/>
        </w:rPr>
        <w:t>商务技术及价格分值分配</w:t>
      </w:r>
    </w:p>
    <w:tbl>
      <w:tblPr>
        <w:tblStyle w:val="46"/>
        <w:tblW w:w="84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66"/>
        <w:gridCol w:w="1623"/>
        <w:gridCol w:w="1811"/>
        <w:gridCol w:w="1809"/>
        <w:gridCol w:w="1649"/>
      </w:tblGrid>
      <w:tr w14:paraId="751B1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59" w:hRule="atLeast"/>
          <w:jc w:val="center"/>
        </w:trPr>
        <w:tc>
          <w:tcPr>
            <w:tcW w:w="1566" w:type="dxa"/>
            <w:vAlign w:val="center"/>
          </w:tcPr>
          <w:p w14:paraId="325B6649">
            <w:pPr>
              <w:snapToGrid w:val="0"/>
              <w:jc w:val="center"/>
              <w:rPr>
                <w:rFonts w:ascii="宋体" w:hAnsi="宋体" w:cs="宋体"/>
                <w:b/>
                <w:bCs/>
                <w:color w:val="auto"/>
              </w:rPr>
            </w:pPr>
            <w:r>
              <w:rPr>
                <w:rFonts w:hint="eastAsia" w:ascii="宋体" w:hAnsi="宋体" w:cs="宋体"/>
                <w:b/>
                <w:bCs/>
                <w:color w:val="auto"/>
              </w:rPr>
              <w:t>评分项目</w:t>
            </w:r>
          </w:p>
        </w:tc>
        <w:tc>
          <w:tcPr>
            <w:tcW w:w="1623" w:type="dxa"/>
            <w:vAlign w:val="center"/>
          </w:tcPr>
          <w:p w14:paraId="76FA6F1C">
            <w:pPr>
              <w:snapToGrid w:val="0"/>
              <w:jc w:val="center"/>
              <w:rPr>
                <w:rFonts w:ascii="宋体" w:hAnsi="宋体" w:cs="宋体"/>
                <w:b/>
                <w:bCs/>
                <w:color w:val="auto"/>
              </w:rPr>
            </w:pPr>
            <w:r>
              <w:rPr>
                <w:rFonts w:hint="eastAsia" w:ascii="宋体" w:hAnsi="宋体" w:cs="宋体"/>
                <w:b/>
                <w:bCs/>
                <w:color w:val="auto"/>
              </w:rPr>
              <w:t>商务评分</w:t>
            </w:r>
          </w:p>
        </w:tc>
        <w:tc>
          <w:tcPr>
            <w:tcW w:w="1811" w:type="dxa"/>
            <w:vAlign w:val="center"/>
          </w:tcPr>
          <w:p w14:paraId="4C789EE4">
            <w:pPr>
              <w:snapToGrid w:val="0"/>
              <w:jc w:val="center"/>
              <w:rPr>
                <w:rFonts w:ascii="宋体" w:hAnsi="宋体" w:cs="宋体"/>
                <w:b/>
                <w:bCs/>
                <w:color w:val="auto"/>
              </w:rPr>
            </w:pPr>
            <w:r>
              <w:rPr>
                <w:rFonts w:hint="eastAsia" w:ascii="宋体" w:hAnsi="宋体" w:cs="宋体"/>
                <w:b/>
                <w:bCs/>
                <w:color w:val="auto"/>
              </w:rPr>
              <w:t>技术评分</w:t>
            </w:r>
          </w:p>
        </w:tc>
        <w:tc>
          <w:tcPr>
            <w:tcW w:w="1809" w:type="dxa"/>
            <w:vAlign w:val="center"/>
          </w:tcPr>
          <w:p w14:paraId="17E138B1">
            <w:pPr>
              <w:snapToGrid w:val="0"/>
              <w:jc w:val="center"/>
              <w:rPr>
                <w:rFonts w:ascii="宋体" w:hAnsi="宋体" w:cs="宋体"/>
                <w:b/>
                <w:bCs/>
                <w:color w:val="auto"/>
              </w:rPr>
            </w:pPr>
            <w:r>
              <w:rPr>
                <w:rFonts w:hint="eastAsia" w:ascii="宋体" w:hAnsi="宋体" w:cs="宋体"/>
                <w:b/>
                <w:bCs/>
                <w:color w:val="auto"/>
              </w:rPr>
              <w:t>价格评分</w:t>
            </w:r>
          </w:p>
        </w:tc>
        <w:tc>
          <w:tcPr>
            <w:tcW w:w="1649" w:type="dxa"/>
            <w:vAlign w:val="center"/>
          </w:tcPr>
          <w:p w14:paraId="467E318A">
            <w:pPr>
              <w:snapToGrid w:val="0"/>
              <w:jc w:val="center"/>
              <w:rPr>
                <w:rFonts w:ascii="宋体" w:hAnsi="宋体" w:cs="宋体"/>
                <w:b/>
                <w:bCs/>
                <w:color w:val="auto"/>
              </w:rPr>
            </w:pPr>
            <w:r>
              <w:rPr>
                <w:rFonts w:hint="eastAsia" w:ascii="宋体" w:hAnsi="宋体" w:cs="宋体"/>
                <w:b/>
                <w:bCs/>
                <w:color w:val="auto"/>
              </w:rPr>
              <w:t>总分</w:t>
            </w:r>
          </w:p>
        </w:tc>
      </w:tr>
      <w:tr w14:paraId="6C0DE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566" w:type="dxa"/>
            <w:vAlign w:val="center"/>
          </w:tcPr>
          <w:p w14:paraId="461F9406">
            <w:pPr>
              <w:snapToGrid w:val="0"/>
              <w:jc w:val="center"/>
              <w:rPr>
                <w:rFonts w:ascii="宋体" w:hAnsi="宋体" w:cs="宋体"/>
                <w:color w:val="auto"/>
              </w:rPr>
            </w:pPr>
            <w:r>
              <w:rPr>
                <w:rFonts w:hint="eastAsia" w:ascii="宋体" w:hAnsi="宋体" w:cs="宋体"/>
                <w:color w:val="auto"/>
              </w:rPr>
              <w:t>分   值</w:t>
            </w:r>
          </w:p>
        </w:tc>
        <w:tc>
          <w:tcPr>
            <w:tcW w:w="1623" w:type="dxa"/>
            <w:shd w:val="clear" w:color="auto" w:fill="auto"/>
            <w:vAlign w:val="center"/>
          </w:tcPr>
          <w:p w14:paraId="6C6B824B">
            <w:pPr>
              <w:jc w:val="center"/>
              <w:rPr>
                <w:rFonts w:hint="eastAsia" w:ascii="宋体" w:hAnsi="宋体" w:cs="宋体"/>
                <w:b w:val="0"/>
                <w:bCs w:val="0"/>
                <w:color w:val="auto"/>
                <w:lang w:val="en-US"/>
              </w:rPr>
            </w:pPr>
            <w:r>
              <w:rPr>
                <w:rFonts w:hint="eastAsia" w:ascii="宋体" w:hAnsi="宋体" w:cs="宋体"/>
                <w:b w:val="0"/>
                <w:bCs w:val="0"/>
                <w:color w:val="auto"/>
                <w:lang w:val="en-US" w:eastAsia="zh-CN"/>
              </w:rPr>
              <w:t>25分</w:t>
            </w:r>
          </w:p>
        </w:tc>
        <w:tc>
          <w:tcPr>
            <w:tcW w:w="1811" w:type="dxa"/>
            <w:shd w:val="clear" w:color="auto" w:fill="auto"/>
            <w:vAlign w:val="center"/>
          </w:tcPr>
          <w:p w14:paraId="5BCF90CC">
            <w:pPr>
              <w:jc w:val="center"/>
              <w:rPr>
                <w:rFonts w:hint="eastAsia" w:ascii="宋体" w:hAnsi="宋体" w:cs="宋体"/>
                <w:b w:val="0"/>
                <w:bCs w:val="0"/>
                <w:color w:val="auto"/>
                <w:lang w:val="en-US"/>
              </w:rPr>
            </w:pPr>
            <w:r>
              <w:rPr>
                <w:rFonts w:hint="eastAsia" w:ascii="宋体" w:hAnsi="宋体" w:cs="宋体"/>
                <w:b w:val="0"/>
                <w:bCs w:val="0"/>
                <w:color w:val="auto"/>
                <w:lang w:val="en-US" w:eastAsia="zh-CN"/>
              </w:rPr>
              <w:t>45分</w:t>
            </w:r>
          </w:p>
        </w:tc>
        <w:tc>
          <w:tcPr>
            <w:tcW w:w="1809" w:type="dxa"/>
            <w:shd w:val="clear" w:color="auto" w:fill="auto"/>
            <w:vAlign w:val="center"/>
          </w:tcPr>
          <w:p w14:paraId="2F04F13B">
            <w:pPr>
              <w:jc w:val="center"/>
              <w:rPr>
                <w:rFonts w:hint="eastAsia" w:ascii="宋体" w:hAnsi="宋体" w:eastAsia="宋体" w:cs="宋体"/>
                <w:b w:val="0"/>
                <w:bCs w:val="0"/>
                <w:color w:val="auto"/>
                <w:lang w:eastAsia="zh-CN"/>
              </w:rPr>
            </w:pPr>
            <w:r>
              <w:rPr>
                <w:rFonts w:hint="eastAsia" w:ascii="宋体" w:hAnsi="宋体" w:cs="宋体"/>
                <w:b w:val="0"/>
                <w:bCs w:val="0"/>
                <w:color w:val="auto"/>
                <w:lang w:val="en-US" w:eastAsia="zh-CN"/>
              </w:rPr>
              <w:t>30分</w:t>
            </w:r>
          </w:p>
        </w:tc>
        <w:tc>
          <w:tcPr>
            <w:tcW w:w="1649" w:type="dxa"/>
            <w:vAlign w:val="center"/>
          </w:tcPr>
          <w:p w14:paraId="4D094D98">
            <w:pPr>
              <w:jc w:val="center"/>
              <w:rPr>
                <w:rFonts w:ascii="宋体" w:hAnsi="宋体" w:cs="宋体"/>
                <w:color w:val="auto"/>
              </w:rPr>
            </w:pPr>
            <w:r>
              <w:rPr>
                <w:rFonts w:hint="eastAsia" w:ascii="宋体" w:hAnsi="宋体" w:cs="宋体"/>
                <w:color w:val="auto"/>
              </w:rPr>
              <w:t>100分</w:t>
            </w:r>
          </w:p>
        </w:tc>
      </w:tr>
    </w:tbl>
    <w:p w14:paraId="34DC7442">
      <w:pPr>
        <w:spacing w:before="156" w:beforeLines="50" w:line="360" w:lineRule="auto"/>
        <w:ind w:firstLine="735" w:firstLineChars="350"/>
        <w:rPr>
          <w:rFonts w:ascii="宋体" w:hAnsi="宋体" w:cs="宋体"/>
          <w:color w:val="auto"/>
        </w:rPr>
      </w:pPr>
      <w:r>
        <w:rPr>
          <w:rFonts w:hint="eastAsia" w:ascii="宋体" w:hAnsi="宋体" w:cs="宋体"/>
          <w:color w:val="auto"/>
        </w:rPr>
        <w:t>评审总得分=商务评分＋技术评分＋价格评分</w:t>
      </w:r>
    </w:p>
    <w:p w14:paraId="2EA684FE">
      <w:pPr>
        <w:autoSpaceDE w:val="0"/>
        <w:autoSpaceDN w:val="0"/>
        <w:adjustRightInd w:val="0"/>
        <w:spacing w:line="360" w:lineRule="auto"/>
        <w:ind w:right="678" w:rightChars="323"/>
        <w:jc w:val="left"/>
        <w:rPr>
          <w:rFonts w:ascii="宋体" w:hAnsi="宋体" w:cs="宋体"/>
          <w:color w:val="auto"/>
          <w:szCs w:val="21"/>
        </w:rPr>
      </w:pPr>
      <w:r>
        <w:rPr>
          <w:rFonts w:hint="eastAsia" w:ascii="宋体" w:hAnsi="宋体" w:cs="宋体"/>
          <w:color w:val="auto"/>
          <w:szCs w:val="21"/>
        </w:rPr>
        <w:t>（3）价格评审：</w:t>
      </w:r>
    </w:p>
    <w:p w14:paraId="434FA508">
      <w:pPr>
        <w:widowControl/>
        <w:tabs>
          <w:tab w:val="left" w:pos="720"/>
        </w:tabs>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1.价格分统一采用</w:t>
      </w:r>
      <w:r>
        <w:rPr>
          <w:rFonts w:hint="eastAsia" w:ascii="宋体" w:hAnsi="宋体" w:cs="宋体"/>
          <w:color w:val="auto"/>
          <w:szCs w:val="21"/>
          <w:lang w:eastAsia="zh-CN"/>
        </w:rPr>
        <w:t>（</w:t>
      </w:r>
      <w:r>
        <w:rPr>
          <w:rFonts w:hint="eastAsia" w:ascii="宋体" w:hAnsi="宋体" w:cs="宋体"/>
          <w:color w:val="auto"/>
          <w:szCs w:val="21"/>
          <w:lang w:val="en-US" w:eastAsia="zh-CN"/>
        </w:rPr>
        <w:t>下浮率</w:t>
      </w:r>
      <w:r>
        <w:rPr>
          <w:rFonts w:hint="eastAsia" w:ascii="宋体" w:hAnsi="宋体" w:cs="宋体"/>
          <w:color w:val="auto"/>
          <w:szCs w:val="21"/>
          <w:lang w:eastAsia="zh-CN"/>
        </w:rPr>
        <w:t>）</w:t>
      </w:r>
      <w:r>
        <w:rPr>
          <w:rFonts w:hint="eastAsia" w:ascii="宋体" w:hAnsi="宋体" w:cs="宋体"/>
          <w:color w:val="auto"/>
          <w:szCs w:val="21"/>
        </w:rPr>
        <w:t>低价优先法计算，满足</w:t>
      </w:r>
      <w:r>
        <w:rPr>
          <w:rFonts w:hint="eastAsia" w:ascii="宋体" w:hAnsi="宋体" w:cs="宋体"/>
          <w:color w:val="auto"/>
          <w:szCs w:val="21"/>
          <w:lang w:eastAsia="zh-CN"/>
        </w:rPr>
        <w:t>采购文件</w:t>
      </w:r>
      <w:r>
        <w:rPr>
          <w:rFonts w:hint="eastAsia" w:ascii="宋体" w:hAnsi="宋体" w:cs="宋体"/>
          <w:color w:val="auto"/>
          <w:szCs w:val="21"/>
        </w:rPr>
        <w:t>要求（通过资格性审查和符合性审查）的有效投标报价方能参与价格评分，计算出评标价（评标价），以最低评标价(指按上述条款修正后报价，下同)作为评标基准价，其价格分为满分。其他供应商的价格分统一按照下列公式计算：</w:t>
      </w:r>
    </w:p>
    <w:p w14:paraId="4C4F4E13">
      <w:pPr>
        <w:widowControl/>
        <w:tabs>
          <w:tab w:val="left" w:pos="720"/>
        </w:tabs>
        <w:adjustRightInd w:val="0"/>
        <w:spacing w:line="360" w:lineRule="auto"/>
        <w:ind w:firstLine="420" w:firstLineChars="200"/>
        <w:jc w:val="center"/>
        <w:rPr>
          <w:rFonts w:ascii="宋体" w:hAnsi="宋体" w:cs="宋体"/>
          <w:color w:val="auto"/>
          <w:szCs w:val="21"/>
        </w:rPr>
      </w:pPr>
      <w:r>
        <w:rPr>
          <w:rFonts w:hint="eastAsia" w:ascii="宋体" w:hAnsi="宋体" w:cs="宋体"/>
          <w:color w:val="auto"/>
          <w:szCs w:val="21"/>
        </w:rPr>
        <w:t>价格评分=（评标基准价／评标价）×价格评分权重</w:t>
      </w:r>
    </w:p>
    <w:p w14:paraId="6C9D7E6A">
      <w:pPr>
        <w:widowControl/>
        <w:tabs>
          <w:tab w:val="left" w:pos="720"/>
        </w:tabs>
        <w:adjustRightInd w:val="0"/>
        <w:spacing w:line="360" w:lineRule="auto"/>
        <w:ind w:firstLine="420" w:firstLineChars="200"/>
        <w:rPr>
          <w:rFonts w:ascii="宋体" w:hAnsi="宋体" w:cs="宋体"/>
          <w:color w:val="auto"/>
          <w:szCs w:val="21"/>
        </w:rPr>
      </w:pPr>
      <w:bookmarkStart w:id="360" w:name="_Toc461991251"/>
      <w:r>
        <w:rPr>
          <w:rFonts w:hint="eastAsia" w:ascii="宋体" w:hAnsi="宋体" w:cs="宋体"/>
          <w:color w:val="auto"/>
          <w:szCs w:val="21"/>
        </w:rPr>
        <w:t>2.价格核准：评委对有效供应商的详细报价进行复核，复核原则为：</w:t>
      </w:r>
    </w:p>
    <w:p w14:paraId="4B73A071">
      <w:pPr>
        <w:widowControl/>
        <w:tabs>
          <w:tab w:val="left" w:pos="720"/>
        </w:tabs>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1）开标时，响应文件中</w:t>
      </w:r>
      <w:r>
        <w:rPr>
          <w:rFonts w:hint="eastAsia" w:ascii="宋体" w:hAnsi="宋体" w:cs="宋体"/>
          <w:color w:val="auto"/>
          <w:szCs w:val="21"/>
          <w:lang w:eastAsia="zh-CN"/>
        </w:rPr>
        <w:t>首轮报价表</w:t>
      </w:r>
      <w:r>
        <w:rPr>
          <w:rFonts w:hint="eastAsia" w:ascii="宋体" w:hAnsi="宋体" w:cs="宋体"/>
          <w:color w:val="auto"/>
          <w:szCs w:val="21"/>
        </w:rPr>
        <w:t>（报价表）内容与响应文件中明细表内容不一致的，以</w:t>
      </w:r>
      <w:r>
        <w:rPr>
          <w:rFonts w:hint="eastAsia" w:ascii="宋体" w:hAnsi="宋体" w:cs="宋体"/>
          <w:color w:val="auto"/>
          <w:szCs w:val="21"/>
          <w:lang w:eastAsia="zh-CN"/>
        </w:rPr>
        <w:t>首轮报价表</w:t>
      </w:r>
      <w:r>
        <w:rPr>
          <w:rFonts w:hint="eastAsia" w:ascii="宋体" w:hAnsi="宋体" w:cs="宋体"/>
          <w:color w:val="auto"/>
          <w:szCs w:val="21"/>
        </w:rPr>
        <w:t>（报价表）为准。响应文件的大写金额和小写金额不一致的，以大写金额为准；总价金额与按单价计算汇总金额不一致的，以单价计算汇总金额为准；单价金额小数点有明显错位的，应以总价为准，并修改单价；</w:t>
      </w:r>
    </w:p>
    <w:p w14:paraId="3E6CDAF6">
      <w:pPr>
        <w:widowControl/>
        <w:tabs>
          <w:tab w:val="left" w:pos="720"/>
        </w:tabs>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2）对投标货物或服务的关键、主要内容，供应商报价漏项的，作非实质性响应投标处理；</w:t>
      </w:r>
    </w:p>
    <w:p w14:paraId="32C748F2">
      <w:pPr>
        <w:widowControl/>
        <w:tabs>
          <w:tab w:val="left" w:pos="720"/>
        </w:tabs>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3）对投标货物或服务的非关键、非主要内容，供应商报价漏项的，评标时将要求漏项的供应商予以澄清，但该澄清不作为评标的依据；磋商小组将以其它响应供应商对应项的最高磋商报价补充计入其评标价；</w:t>
      </w:r>
    </w:p>
    <w:p w14:paraId="556839D9">
      <w:pPr>
        <w:widowControl/>
        <w:tabs>
          <w:tab w:val="left" w:pos="720"/>
        </w:tabs>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4）对非关键、非主要内容的费用，如果供应商是另行单独报价的，评标时也相应另行计入其评标价；</w:t>
      </w:r>
    </w:p>
    <w:p w14:paraId="3A209E7C">
      <w:pPr>
        <w:widowControl/>
        <w:tabs>
          <w:tab w:val="left" w:pos="720"/>
        </w:tabs>
        <w:adjustRightIn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5）对数量的评审，以《用户需求书》所明示数量为准；《用户需求书》未明示的，由磋商小组以其专业知识判断，必要时参考供应商的澄清文件决定；</w:t>
      </w:r>
    </w:p>
    <w:p w14:paraId="26294D51">
      <w:pPr>
        <w:widowControl/>
        <w:tabs>
          <w:tab w:val="left" w:pos="720"/>
        </w:tabs>
        <w:spacing w:line="360" w:lineRule="auto"/>
        <w:rPr>
          <w:rFonts w:ascii="宋体" w:hAnsi="宋体" w:cs="宋体"/>
          <w:b/>
          <w:bCs/>
          <w:color w:val="auto"/>
          <w:szCs w:val="21"/>
        </w:rPr>
      </w:pPr>
      <w:r>
        <w:rPr>
          <w:rFonts w:hint="eastAsia" w:ascii="宋体" w:hAnsi="宋体" w:cs="宋体"/>
          <w:b/>
          <w:bCs/>
          <w:color w:val="auto"/>
          <w:szCs w:val="21"/>
        </w:rPr>
        <w:t>3.评标委员会认为投标人的报价明显低于其他通过符合性审查投标人的报价，有可能影响产品质量或者不能诚信履约的，应当要求其在评标现场合理的时间内（30分钟内）提供书面说明，必要时提交相关证明材料；投标人不能证明其报价合理性的，评标委员会应当将其作为无效投标处理。</w:t>
      </w:r>
    </w:p>
    <w:p w14:paraId="692D81AA">
      <w:pPr>
        <w:pStyle w:val="58"/>
        <w:rPr>
          <w:color w:val="auto"/>
        </w:rPr>
      </w:pPr>
    </w:p>
    <w:p w14:paraId="1A496F72">
      <w:pPr>
        <w:pStyle w:val="2"/>
        <w:spacing w:before="120" w:after="120" w:line="360" w:lineRule="auto"/>
        <w:ind w:right="678" w:rightChars="323"/>
        <w:rPr>
          <w:rFonts w:ascii="宋体" w:hAnsi="宋体" w:cs="宋体"/>
          <w:color w:val="auto"/>
          <w:sz w:val="21"/>
          <w:szCs w:val="21"/>
        </w:rPr>
      </w:pPr>
      <w:bookmarkStart w:id="361" w:name="_Toc23275"/>
      <w:bookmarkStart w:id="362" w:name="_Toc30904"/>
      <w:bookmarkStart w:id="363" w:name="_Toc1773"/>
      <w:bookmarkStart w:id="364" w:name="_Toc3528"/>
      <w:bookmarkStart w:id="365" w:name="_Toc20514"/>
      <w:bookmarkStart w:id="366" w:name="_Toc17599"/>
      <w:bookmarkStart w:id="367" w:name="_Toc31774"/>
      <w:bookmarkStart w:id="368" w:name="_Toc25223"/>
      <w:bookmarkStart w:id="369" w:name="_Toc9910"/>
      <w:r>
        <w:rPr>
          <w:rFonts w:hint="eastAsia" w:ascii="宋体" w:hAnsi="宋体" w:cs="宋体"/>
          <w:color w:val="auto"/>
          <w:sz w:val="21"/>
          <w:szCs w:val="21"/>
        </w:rPr>
        <w:t>五、确定</w:t>
      </w:r>
      <w:bookmarkEnd w:id="360"/>
      <w:bookmarkEnd w:id="361"/>
      <w:r>
        <w:rPr>
          <w:rFonts w:hint="eastAsia" w:ascii="宋体" w:hAnsi="宋体" w:cs="宋体"/>
          <w:color w:val="auto"/>
          <w:sz w:val="21"/>
          <w:szCs w:val="21"/>
        </w:rPr>
        <w:t>成交供应商候选人</w:t>
      </w:r>
      <w:bookmarkEnd w:id="362"/>
      <w:bookmarkEnd w:id="363"/>
      <w:bookmarkEnd w:id="364"/>
      <w:bookmarkEnd w:id="365"/>
      <w:bookmarkEnd w:id="366"/>
      <w:bookmarkEnd w:id="367"/>
      <w:bookmarkEnd w:id="368"/>
      <w:bookmarkEnd w:id="369"/>
    </w:p>
    <w:p w14:paraId="09F2962D">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1、磋商小组应当根据综合评分情况，按照评审综合得分由高到低顺序推荐成交候选供应商，并编写评审报告。</w:t>
      </w:r>
    </w:p>
    <w:p w14:paraId="1FC084E2">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2、采购代理机构应当在评审结束后2个工作日内将评审报告送采购人确认。</w:t>
      </w:r>
    </w:p>
    <w:p w14:paraId="537982D7">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3、采购人应当在收到评审报告后5个工作日内，从评审报告提出的成交候选供应商中，按照排序由高到低的原则确定成交供应商候选人，也可以授权磋商小组直接确定成交供应商候选人。</w:t>
      </w:r>
    </w:p>
    <w:p w14:paraId="2F1D62DC">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4、采购人或者采购代理机构应当在成交供应商候选人确定后2个工作日内，在省级以上财政部门指定的采购信息发布媒体上公告成交结果，同时向成交供应商候选人发出成交通知书。</w:t>
      </w:r>
    </w:p>
    <w:p w14:paraId="4D538316">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5、替补候选人的设定与使用</w:t>
      </w:r>
    </w:p>
    <w:p w14:paraId="65F1021E">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排名第一的成交候选供应商放弃成交、或因不可抗力提出不能履行合同、或者竞争性</w:t>
      </w:r>
      <w:r>
        <w:rPr>
          <w:rFonts w:hint="eastAsia" w:ascii="宋体" w:hAnsi="宋体" w:cs="宋体"/>
          <w:color w:val="auto"/>
          <w:szCs w:val="21"/>
          <w:lang w:eastAsia="zh-CN"/>
        </w:rPr>
        <w:t>采购文件</w:t>
      </w:r>
      <w:r>
        <w:rPr>
          <w:rFonts w:hint="eastAsia" w:ascii="宋体" w:hAnsi="宋体" w:cs="宋体"/>
          <w:color w:val="auto"/>
          <w:szCs w:val="21"/>
        </w:rPr>
        <w:t>规定应当递交履约担保而在规定的期限内未能递交、或成交候选供应商拒绝与采购人签订合同的，采购人可以按照评审报告推荐的成交候选供应商名单排序确定下一候选供应商作为成交供应商候选人，也可以重新开展采购活动。拒绝签订采购合同的成交供应商候选人不得参加对该项目重新开展的采购活动。</w:t>
      </w:r>
    </w:p>
    <w:p w14:paraId="37C89C4B">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6、磋商失败的情形：</w:t>
      </w:r>
    </w:p>
    <w:p w14:paraId="34A62A33">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出现下列情形之一的，采购人或者采购代理机构应当终止竞争性磋商采购活动，发布项目终止公告并说明原因，重新开展采购活动：</w:t>
      </w:r>
    </w:p>
    <w:p w14:paraId="569E3C3F">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（1）因情况变化，不再符合规定的竞争性磋商采购方式适用情形的；</w:t>
      </w:r>
    </w:p>
    <w:p w14:paraId="2BD1B04B">
      <w:pPr>
        <w:autoSpaceDE w:val="0"/>
        <w:autoSpaceDN w:val="0"/>
        <w:adjustRightInd w:val="0"/>
        <w:spacing w:line="360" w:lineRule="auto"/>
        <w:ind w:right="678" w:rightChars="323" w:firstLine="420" w:firstLineChars="200"/>
        <w:jc w:val="left"/>
        <w:rPr>
          <w:rFonts w:ascii="宋体" w:hAnsi="宋体" w:cs="宋体"/>
          <w:color w:val="auto"/>
          <w:szCs w:val="21"/>
        </w:rPr>
      </w:pPr>
      <w:r>
        <w:rPr>
          <w:rFonts w:hint="eastAsia" w:ascii="宋体" w:hAnsi="宋体" w:cs="宋体"/>
          <w:color w:val="auto"/>
          <w:szCs w:val="21"/>
        </w:rPr>
        <w:t>（2）出现影响采购公正的违法、违规行为的。</w:t>
      </w:r>
    </w:p>
    <w:p w14:paraId="223300F3">
      <w:pPr>
        <w:pStyle w:val="2"/>
        <w:spacing w:before="120" w:after="120" w:line="360" w:lineRule="auto"/>
        <w:ind w:right="678" w:rightChars="323"/>
        <w:rPr>
          <w:rFonts w:ascii="宋体" w:hAnsi="宋体" w:cs="宋体"/>
          <w:bCs/>
          <w:color w:val="auto"/>
          <w:sz w:val="36"/>
          <w:szCs w:val="36"/>
        </w:rPr>
      </w:pPr>
      <w:bookmarkStart w:id="370" w:name="_Toc22183"/>
      <w:bookmarkStart w:id="371" w:name="_Toc31060"/>
      <w:bookmarkStart w:id="372" w:name="_Toc15450"/>
      <w:bookmarkStart w:id="373" w:name="_Toc461991252"/>
      <w:bookmarkStart w:id="374" w:name="_Toc3716"/>
      <w:bookmarkStart w:id="375" w:name="_Toc20237"/>
      <w:bookmarkStart w:id="376" w:name="_Toc27870"/>
      <w:bookmarkStart w:id="377" w:name="_Toc29903"/>
      <w:bookmarkStart w:id="378" w:name="_Toc21488"/>
      <w:bookmarkStart w:id="379" w:name="_Toc3552"/>
      <w:r>
        <w:rPr>
          <w:rFonts w:hint="eastAsia" w:ascii="宋体" w:hAnsi="宋体" w:cs="宋体"/>
          <w:color w:val="auto"/>
          <w:sz w:val="24"/>
          <w:szCs w:val="24"/>
        </w:rPr>
        <w:t>六、磋商评审附表</w:t>
      </w:r>
      <w:bookmarkEnd w:id="370"/>
      <w:bookmarkEnd w:id="371"/>
      <w:bookmarkEnd w:id="372"/>
      <w:bookmarkEnd w:id="373"/>
      <w:bookmarkEnd w:id="374"/>
      <w:bookmarkEnd w:id="375"/>
      <w:bookmarkEnd w:id="376"/>
      <w:bookmarkEnd w:id="377"/>
      <w:bookmarkEnd w:id="378"/>
      <w:bookmarkEnd w:id="379"/>
    </w:p>
    <w:p w14:paraId="038E7865">
      <w:pPr>
        <w:autoSpaceDE w:val="0"/>
        <w:autoSpaceDN w:val="0"/>
        <w:adjustRightInd w:val="0"/>
        <w:spacing w:line="360" w:lineRule="auto"/>
        <w:ind w:right="678" w:rightChars="323"/>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附表1：资格性审查表</w:t>
      </w:r>
      <w:r>
        <w:rPr>
          <w:rFonts w:hint="eastAsia" w:ascii="宋体" w:hAnsi="宋体" w:cs="宋体"/>
          <w:b/>
          <w:bCs/>
          <w:color w:val="auto"/>
          <w:sz w:val="24"/>
          <w:szCs w:val="24"/>
          <w:lang w:val="en-US" w:eastAsia="zh-CN"/>
        </w:rPr>
        <w:t xml:space="preserve"> </w:t>
      </w:r>
    </w:p>
    <w:tbl>
      <w:tblPr>
        <w:tblStyle w:val="46"/>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9"/>
      </w:tblGrid>
      <w:tr w14:paraId="18F8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269" w:type="dxa"/>
            <w:vMerge w:val="restart"/>
            <w:vAlign w:val="center"/>
          </w:tcPr>
          <w:p w14:paraId="5EA581A3">
            <w:pPr>
              <w:spacing w:line="360" w:lineRule="exact"/>
              <w:jc w:val="center"/>
              <w:rPr>
                <w:rFonts w:ascii="宋体" w:hAnsi="宋体" w:cs="宋体"/>
                <w:color w:val="auto"/>
                <w:szCs w:val="21"/>
              </w:rPr>
            </w:pPr>
            <w:r>
              <w:rPr>
                <w:rFonts w:hint="eastAsia" w:ascii="宋体" w:hAnsi="宋体" w:cs="宋体"/>
                <w:b/>
                <w:bCs/>
                <w:color w:val="auto"/>
                <w:szCs w:val="21"/>
              </w:rPr>
              <w:t>评审内容</w:t>
            </w:r>
          </w:p>
        </w:tc>
      </w:tr>
      <w:tr w14:paraId="1FAA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269" w:type="dxa"/>
            <w:vMerge w:val="continue"/>
            <w:vAlign w:val="center"/>
          </w:tcPr>
          <w:p w14:paraId="36C79EAE">
            <w:pPr>
              <w:spacing w:line="360" w:lineRule="exact"/>
              <w:rPr>
                <w:rFonts w:ascii="宋体" w:hAnsi="宋体" w:cs="宋体"/>
                <w:color w:val="auto"/>
                <w:szCs w:val="21"/>
              </w:rPr>
            </w:pPr>
          </w:p>
        </w:tc>
      </w:tr>
      <w:tr w14:paraId="01D4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69" w:type="dxa"/>
            <w:vAlign w:val="center"/>
          </w:tcPr>
          <w:p w14:paraId="090A80CD">
            <w:pPr>
              <w:spacing w:line="440" w:lineRule="exact"/>
              <w:rPr>
                <w:rFonts w:ascii="宋体" w:hAnsi="宋体" w:cs="宋体"/>
                <w:color w:val="auto"/>
                <w:szCs w:val="21"/>
              </w:rPr>
            </w:pPr>
            <w:r>
              <w:rPr>
                <w:rFonts w:hint="eastAsia" w:ascii="宋体" w:hAnsi="宋体" w:cs="宋体"/>
                <w:b/>
                <w:bCs/>
                <w:color w:val="auto"/>
                <w:szCs w:val="21"/>
              </w:rPr>
              <w:t>与磋商邀请函中“申请人的资格要求”一致。</w:t>
            </w:r>
          </w:p>
        </w:tc>
      </w:tr>
    </w:tbl>
    <w:p w14:paraId="728739D9">
      <w:pPr>
        <w:spacing w:line="360" w:lineRule="exact"/>
        <w:rPr>
          <w:rFonts w:ascii="宋体" w:hAnsi="宋体" w:cs="宋体"/>
          <w:color w:val="auto"/>
        </w:rPr>
      </w:pPr>
    </w:p>
    <w:p w14:paraId="0D61C7F7">
      <w:pPr>
        <w:jc w:val="center"/>
        <w:rPr>
          <w:rFonts w:ascii="宋体" w:hAnsi="宋体" w:cs="宋体"/>
          <w:color w:val="auto"/>
        </w:rPr>
      </w:pPr>
      <w:r>
        <w:rPr>
          <w:rFonts w:hint="eastAsia" w:ascii="宋体" w:hAnsi="宋体" w:cs="宋体"/>
          <w:b/>
          <w:bCs/>
          <w:color w:val="auto"/>
          <w:szCs w:val="21"/>
        </w:rPr>
        <w:t>注：供应商如有以上任意一项评审内容不通过的则被评为资格性审查不通过，不能进入符合性审查。</w:t>
      </w:r>
    </w:p>
    <w:p w14:paraId="53E2A28F">
      <w:pPr>
        <w:autoSpaceDE w:val="0"/>
        <w:autoSpaceDN w:val="0"/>
        <w:adjustRightInd w:val="0"/>
        <w:ind w:right="678" w:rightChars="323"/>
        <w:jc w:val="left"/>
        <w:rPr>
          <w:rFonts w:ascii="宋体" w:hAnsi="宋体" w:cs="宋体"/>
          <w:b/>
          <w:bCs/>
          <w:color w:val="auto"/>
          <w:sz w:val="15"/>
          <w:szCs w:val="15"/>
        </w:rPr>
      </w:pPr>
    </w:p>
    <w:p w14:paraId="4A932B6F">
      <w:pPr>
        <w:pStyle w:val="7"/>
        <w:rPr>
          <w:color w:val="auto"/>
        </w:rPr>
      </w:pPr>
    </w:p>
    <w:p w14:paraId="51D000C6">
      <w:pPr>
        <w:autoSpaceDE w:val="0"/>
        <w:autoSpaceDN w:val="0"/>
        <w:adjustRightInd w:val="0"/>
        <w:spacing w:line="360" w:lineRule="auto"/>
        <w:ind w:right="678" w:rightChars="323"/>
        <w:jc w:val="center"/>
        <w:rPr>
          <w:rFonts w:ascii="宋体" w:hAnsi="宋体" w:cs="宋体"/>
          <w:b/>
          <w:bCs/>
          <w:color w:val="auto"/>
          <w:sz w:val="20"/>
          <w:szCs w:val="20"/>
        </w:rPr>
      </w:pPr>
      <w:r>
        <w:rPr>
          <w:rFonts w:hint="eastAsia" w:ascii="宋体" w:hAnsi="宋体" w:cs="宋体"/>
          <w:b/>
          <w:bCs/>
          <w:color w:val="auto"/>
          <w:sz w:val="24"/>
          <w:szCs w:val="24"/>
        </w:rPr>
        <w:t>附表2：符合性审查表</w:t>
      </w:r>
    </w:p>
    <w:tbl>
      <w:tblPr>
        <w:tblStyle w:val="46"/>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7C56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320" w:type="dxa"/>
            <w:vMerge w:val="restart"/>
            <w:vAlign w:val="center"/>
          </w:tcPr>
          <w:p w14:paraId="7FD75F00">
            <w:pPr>
              <w:jc w:val="center"/>
              <w:rPr>
                <w:rFonts w:ascii="宋体" w:hAnsi="宋体" w:cs="宋体"/>
                <w:color w:val="auto"/>
                <w:szCs w:val="21"/>
              </w:rPr>
            </w:pPr>
            <w:r>
              <w:rPr>
                <w:rFonts w:hint="eastAsia" w:ascii="宋体" w:hAnsi="宋体" w:cs="宋体"/>
                <w:b/>
                <w:bCs/>
                <w:color w:val="auto"/>
                <w:szCs w:val="21"/>
              </w:rPr>
              <w:t>评审内容</w:t>
            </w:r>
          </w:p>
        </w:tc>
      </w:tr>
      <w:tr w14:paraId="478D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320" w:type="dxa"/>
            <w:vMerge w:val="continue"/>
            <w:vAlign w:val="center"/>
          </w:tcPr>
          <w:p w14:paraId="04EA2CB6">
            <w:pPr>
              <w:rPr>
                <w:rFonts w:ascii="宋体" w:hAnsi="宋体" w:cs="宋体"/>
                <w:color w:val="auto"/>
                <w:szCs w:val="21"/>
              </w:rPr>
            </w:pPr>
          </w:p>
        </w:tc>
      </w:tr>
      <w:tr w14:paraId="6F36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320" w:type="dxa"/>
            <w:shd w:val="clear" w:color="auto" w:fill="auto"/>
            <w:vAlign w:val="top"/>
          </w:tcPr>
          <w:p w14:paraId="1A60E8D7">
            <w:pPr>
              <w:pStyle w:val="231"/>
              <w:rPr>
                <w:rFonts w:hint="eastAsia" w:asciiTheme="minorHAnsi" w:hAnsiTheme="minorHAnsi" w:eastAsiaTheme="minorEastAsia" w:cstheme="minorBidi"/>
                <w:color w:val="auto"/>
                <w:lang w:val="en-US" w:eastAsia="zh-Hans"/>
              </w:rPr>
            </w:pPr>
            <w:r>
              <w:rPr>
                <w:rFonts w:hint="eastAsia" w:ascii="宋体" w:hAnsi="宋体" w:eastAsia="宋体" w:cs="宋体"/>
                <w:color w:val="auto"/>
                <w:kern w:val="2"/>
                <w:sz w:val="21"/>
                <w:szCs w:val="21"/>
                <w:lang w:val="en-US" w:eastAsia="zh-CN" w:bidi="ar-SA"/>
              </w:rPr>
              <w:t>1.按照采购文件的报价方式、报价要求进行了报价且报价方案是唯一确定。</w:t>
            </w:r>
          </w:p>
        </w:tc>
      </w:tr>
      <w:tr w14:paraId="70B2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20" w:type="dxa"/>
            <w:vAlign w:val="center"/>
          </w:tcPr>
          <w:p w14:paraId="41971346">
            <w:pPr>
              <w:rPr>
                <w:rFonts w:ascii="宋体" w:hAnsi="宋体" w:cs="宋体"/>
                <w:color w:val="auto"/>
                <w:szCs w:val="21"/>
              </w:rPr>
            </w:pPr>
            <w:r>
              <w:rPr>
                <w:rFonts w:hint="eastAsia" w:ascii="宋体" w:hAnsi="宋体" w:cs="宋体"/>
                <w:color w:val="auto"/>
                <w:szCs w:val="21"/>
              </w:rPr>
              <w:t>2.已提交磋商函。</w:t>
            </w:r>
          </w:p>
        </w:tc>
      </w:tr>
      <w:tr w14:paraId="28F0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320" w:type="dxa"/>
            <w:vAlign w:val="center"/>
          </w:tcPr>
          <w:p w14:paraId="5356FC81">
            <w:pPr>
              <w:rPr>
                <w:rFonts w:ascii="宋体" w:hAnsi="宋体" w:cs="宋体"/>
                <w:color w:val="auto"/>
                <w:szCs w:val="21"/>
              </w:rPr>
            </w:pPr>
            <w:r>
              <w:rPr>
                <w:rFonts w:hint="eastAsia" w:ascii="宋体" w:hAnsi="宋体" w:cs="宋体"/>
                <w:color w:val="auto"/>
                <w:szCs w:val="21"/>
              </w:rPr>
              <w:t>3.已按</w:t>
            </w:r>
            <w:r>
              <w:rPr>
                <w:rFonts w:hint="eastAsia" w:ascii="宋体" w:hAnsi="宋体" w:cs="宋体"/>
                <w:color w:val="auto"/>
                <w:szCs w:val="21"/>
                <w:lang w:eastAsia="zh-CN"/>
              </w:rPr>
              <w:t>采购文件</w:t>
            </w:r>
            <w:r>
              <w:rPr>
                <w:rFonts w:hint="eastAsia" w:ascii="宋体" w:hAnsi="宋体" w:cs="宋体"/>
                <w:color w:val="auto"/>
                <w:szCs w:val="21"/>
              </w:rPr>
              <w:t>要求提供法定代表人/负责人证明书及授权委托书的。</w:t>
            </w:r>
          </w:p>
        </w:tc>
      </w:tr>
      <w:tr w14:paraId="42D5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320" w:type="dxa"/>
            <w:vAlign w:val="center"/>
          </w:tcPr>
          <w:p w14:paraId="1F9D45FC">
            <w:pPr>
              <w:rPr>
                <w:rFonts w:ascii="宋体" w:hAnsi="宋体" w:cs="宋体"/>
                <w:color w:val="auto"/>
                <w:szCs w:val="21"/>
              </w:rPr>
            </w:pPr>
            <w:r>
              <w:rPr>
                <w:rFonts w:hint="eastAsia" w:ascii="宋体" w:hAnsi="宋体" w:cs="宋体"/>
                <w:color w:val="auto"/>
                <w:szCs w:val="21"/>
              </w:rPr>
              <w:t>4.响应文件有效期为投标</w:t>
            </w:r>
            <w:r>
              <w:rPr>
                <w:rFonts w:hint="eastAsia" w:ascii="宋体" w:hAnsi="宋体" w:cs="宋体"/>
                <w:color w:val="auto"/>
                <w:szCs w:val="21"/>
                <w:lang w:eastAsia="zh-CN"/>
              </w:rPr>
              <w:t>（</w:t>
            </w:r>
            <w:r>
              <w:rPr>
                <w:rFonts w:hint="eastAsia" w:ascii="宋体" w:hAnsi="宋体" w:cs="宋体"/>
                <w:color w:val="auto"/>
                <w:szCs w:val="21"/>
                <w:lang w:val="en-US" w:eastAsia="zh-CN"/>
              </w:rPr>
              <w:t>响应</w:t>
            </w:r>
            <w:r>
              <w:rPr>
                <w:rFonts w:hint="eastAsia" w:ascii="宋体" w:hAnsi="宋体" w:cs="宋体"/>
                <w:color w:val="auto"/>
                <w:szCs w:val="21"/>
                <w:lang w:eastAsia="zh-CN"/>
              </w:rPr>
              <w:t>）</w:t>
            </w:r>
            <w:r>
              <w:rPr>
                <w:rFonts w:hint="eastAsia" w:ascii="宋体" w:hAnsi="宋体" w:cs="宋体"/>
                <w:color w:val="auto"/>
                <w:szCs w:val="21"/>
              </w:rPr>
              <w:t>截止日起至少90日历天。</w:t>
            </w:r>
          </w:p>
        </w:tc>
      </w:tr>
      <w:tr w14:paraId="2530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320" w:type="dxa"/>
            <w:vAlign w:val="center"/>
          </w:tcPr>
          <w:p w14:paraId="02A1806F">
            <w:pPr>
              <w:rPr>
                <w:rFonts w:ascii="宋体" w:hAnsi="宋体" w:cs="宋体"/>
                <w:color w:val="auto"/>
                <w:szCs w:val="21"/>
              </w:rPr>
            </w:pPr>
            <w:r>
              <w:rPr>
                <w:rFonts w:hint="eastAsia" w:ascii="宋体" w:hAnsi="宋体" w:cs="宋体"/>
                <w:color w:val="auto"/>
                <w:szCs w:val="21"/>
              </w:rPr>
              <w:t>5.满足</w:t>
            </w:r>
            <w:r>
              <w:rPr>
                <w:rFonts w:hint="eastAsia" w:ascii="宋体" w:hAnsi="宋体" w:cs="宋体"/>
                <w:color w:val="auto"/>
                <w:szCs w:val="21"/>
                <w:lang w:eastAsia="zh-CN"/>
              </w:rPr>
              <w:t>采购文件</w:t>
            </w:r>
            <w:r>
              <w:rPr>
                <w:rFonts w:hint="eastAsia" w:ascii="宋体" w:hAnsi="宋体" w:cs="宋体"/>
                <w:color w:val="auto"/>
                <w:szCs w:val="21"/>
              </w:rPr>
              <w:t>中带★号的条款和指标，且符合</w:t>
            </w:r>
            <w:r>
              <w:rPr>
                <w:rFonts w:hint="eastAsia" w:ascii="宋体" w:hAnsi="宋体" w:cs="宋体"/>
                <w:color w:val="auto"/>
                <w:szCs w:val="21"/>
                <w:lang w:eastAsia="zh-CN"/>
              </w:rPr>
              <w:t>采购文件</w:t>
            </w:r>
            <w:r>
              <w:rPr>
                <w:rFonts w:hint="eastAsia" w:ascii="宋体" w:hAnsi="宋体" w:cs="宋体"/>
                <w:color w:val="auto"/>
                <w:szCs w:val="21"/>
              </w:rPr>
              <w:t>的其他要求，没有重大偏离的。</w:t>
            </w:r>
          </w:p>
        </w:tc>
      </w:tr>
      <w:tr w14:paraId="1568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20" w:type="dxa"/>
            <w:vAlign w:val="center"/>
          </w:tcPr>
          <w:p w14:paraId="69A3C7D7">
            <w:pPr>
              <w:rPr>
                <w:rFonts w:ascii="宋体" w:hAnsi="宋体" w:cs="宋体"/>
                <w:color w:val="auto"/>
                <w:szCs w:val="21"/>
              </w:rPr>
            </w:pPr>
            <w:r>
              <w:rPr>
                <w:rFonts w:hint="eastAsia" w:ascii="宋体" w:hAnsi="宋体" w:cs="宋体"/>
                <w:color w:val="auto"/>
                <w:szCs w:val="21"/>
              </w:rPr>
              <w:t>6.符合</w:t>
            </w:r>
            <w:r>
              <w:rPr>
                <w:rFonts w:hint="eastAsia" w:ascii="宋体" w:hAnsi="宋体" w:cs="宋体"/>
                <w:color w:val="auto"/>
                <w:szCs w:val="21"/>
                <w:lang w:eastAsia="zh-CN"/>
              </w:rPr>
              <w:t>采购文件</w:t>
            </w:r>
            <w:r>
              <w:rPr>
                <w:rFonts w:hint="eastAsia" w:ascii="宋体" w:hAnsi="宋体" w:cs="宋体"/>
                <w:color w:val="auto"/>
                <w:szCs w:val="21"/>
              </w:rPr>
              <w:t>规定的签署、盖章要求。</w:t>
            </w:r>
          </w:p>
        </w:tc>
      </w:tr>
      <w:tr w14:paraId="2559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320" w:type="dxa"/>
            <w:vAlign w:val="center"/>
          </w:tcPr>
          <w:p w14:paraId="0D1A6D77">
            <w:pPr>
              <w:rPr>
                <w:rFonts w:ascii="宋体" w:hAnsi="宋体" w:cs="宋体"/>
                <w:color w:val="auto"/>
                <w:szCs w:val="21"/>
              </w:rPr>
            </w:pPr>
            <w:r>
              <w:rPr>
                <w:rFonts w:hint="eastAsia" w:ascii="宋体" w:hAnsi="宋体" w:cs="宋体"/>
                <w:color w:val="auto"/>
                <w:szCs w:val="21"/>
              </w:rPr>
              <w:t>7.未发现供应商串通投标情形的。</w:t>
            </w:r>
          </w:p>
        </w:tc>
      </w:tr>
      <w:tr w14:paraId="045B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320" w:type="dxa"/>
            <w:vAlign w:val="center"/>
          </w:tcPr>
          <w:p w14:paraId="2C0D4478">
            <w:pPr>
              <w:rPr>
                <w:rFonts w:ascii="宋体" w:hAnsi="宋体" w:cs="宋体"/>
                <w:color w:val="auto"/>
                <w:szCs w:val="21"/>
              </w:rPr>
            </w:pPr>
            <w:r>
              <w:rPr>
                <w:rFonts w:hint="eastAsia" w:ascii="宋体" w:hAnsi="宋体" w:cs="宋体"/>
                <w:color w:val="auto"/>
                <w:szCs w:val="21"/>
              </w:rPr>
              <w:t>8.供应商按磋商小组要求提交了经授权代表签名的澄清、说明、补正文件，且无改变响应文件实质性内容。</w:t>
            </w:r>
          </w:p>
        </w:tc>
      </w:tr>
      <w:tr w14:paraId="7A9C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320" w:type="dxa"/>
            <w:vAlign w:val="center"/>
          </w:tcPr>
          <w:p w14:paraId="5E275558">
            <w:pPr>
              <w:rPr>
                <w:rFonts w:ascii="宋体" w:hAnsi="宋体" w:cs="宋体"/>
                <w:color w:val="auto"/>
                <w:szCs w:val="21"/>
              </w:rPr>
            </w:pPr>
            <w:r>
              <w:rPr>
                <w:rFonts w:hint="eastAsia" w:ascii="宋体" w:hAnsi="宋体" w:cs="宋体"/>
                <w:color w:val="auto"/>
                <w:szCs w:val="21"/>
              </w:rPr>
              <w:t>9.响应文件未含有采购人不能接受的附加条件的。</w:t>
            </w:r>
          </w:p>
        </w:tc>
      </w:tr>
      <w:tr w14:paraId="0EE3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320" w:type="dxa"/>
            <w:vAlign w:val="center"/>
          </w:tcPr>
          <w:p w14:paraId="73E61F59">
            <w:pPr>
              <w:rPr>
                <w:rFonts w:ascii="宋体" w:hAnsi="宋体" w:cs="宋体"/>
                <w:color w:val="auto"/>
                <w:szCs w:val="21"/>
              </w:rPr>
            </w:pPr>
            <w:r>
              <w:rPr>
                <w:rFonts w:hint="eastAsia" w:ascii="宋体" w:hAnsi="宋体" w:cs="宋体"/>
                <w:color w:val="auto"/>
                <w:szCs w:val="21"/>
              </w:rPr>
              <w:t>10.未发现响应文件提供虚假材料的。</w:t>
            </w:r>
          </w:p>
        </w:tc>
      </w:tr>
      <w:tr w14:paraId="082A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320" w:type="dxa"/>
            <w:vAlign w:val="center"/>
          </w:tcPr>
          <w:p w14:paraId="30AA82FB">
            <w:pPr>
              <w:rPr>
                <w:rFonts w:ascii="宋体" w:hAnsi="宋体" w:cs="宋体"/>
                <w:color w:val="auto"/>
                <w:szCs w:val="21"/>
              </w:rPr>
            </w:pPr>
            <w:r>
              <w:rPr>
                <w:rFonts w:hint="eastAsia" w:ascii="宋体" w:hAnsi="宋体" w:cs="宋体"/>
                <w:color w:val="auto"/>
                <w:szCs w:val="21"/>
              </w:rPr>
              <w:t>11.未发现供应商对采购人、采购代理机构、磋商小组成员施加影响，有碍公开、公平、公正情形的。</w:t>
            </w:r>
          </w:p>
        </w:tc>
      </w:tr>
      <w:tr w14:paraId="6F92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320" w:type="dxa"/>
            <w:vAlign w:val="center"/>
          </w:tcPr>
          <w:p w14:paraId="6D2B30D6">
            <w:pPr>
              <w:rPr>
                <w:rFonts w:ascii="宋体" w:hAnsi="宋体" w:cs="宋体"/>
                <w:color w:val="auto"/>
                <w:szCs w:val="21"/>
              </w:rPr>
            </w:pPr>
            <w:r>
              <w:rPr>
                <w:rFonts w:hint="eastAsia" w:ascii="宋体" w:hAnsi="宋体" w:cs="宋体"/>
                <w:color w:val="auto"/>
                <w:szCs w:val="21"/>
              </w:rPr>
              <w:t>12.法律、法规和</w:t>
            </w:r>
            <w:r>
              <w:rPr>
                <w:rFonts w:hint="eastAsia" w:ascii="宋体" w:hAnsi="宋体" w:cs="宋体"/>
                <w:color w:val="auto"/>
                <w:szCs w:val="21"/>
                <w:lang w:eastAsia="zh-CN"/>
              </w:rPr>
              <w:t>采购文件</w:t>
            </w:r>
            <w:r>
              <w:rPr>
                <w:rFonts w:hint="eastAsia" w:ascii="宋体" w:hAnsi="宋体" w:cs="宋体"/>
                <w:color w:val="auto"/>
                <w:szCs w:val="21"/>
              </w:rPr>
              <w:t>规定的其他无效情形。</w:t>
            </w:r>
          </w:p>
        </w:tc>
      </w:tr>
    </w:tbl>
    <w:p w14:paraId="368CEF22">
      <w:pPr>
        <w:jc w:val="left"/>
        <w:rPr>
          <w:rFonts w:ascii="宋体" w:hAnsi="宋体" w:cs="宋体"/>
          <w:b/>
          <w:bCs/>
          <w:color w:val="auto"/>
          <w:szCs w:val="21"/>
        </w:rPr>
      </w:pPr>
      <w:r>
        <w:rPr>
          <w:rFonts w:hint="eastAsia" w:ascii="宋体" w:hAnsi="宋体" w:cs="宋体"/>
          <w:b/>
          <w:bCs/>
          <w:color w:val="auto"/>
          <w:szCs w:val="21"/>
        </w:rPr>
        <w:t>注：供应商如有以上任意一项评审内容不通过的则被评为符合性审查不通过，不能进入商务、技术和价格评审。</w:t>
      </w:r>
    </w:p>
    <w:p w14:paraId="7CF53BAB">
      <w:pPr>
        <w:rPr>
          <w:rFonts w:hint="eastAsia" w:ascii="宋体" w:hAnsi="宋体" w:cs="宋体"/>
          <w:b/>
          <w:bCs/>
          <w:color w:val="auto"/>
          <w:sz w:val="24"/>
          <w:szCs w:val="24"/>
          <w:lang w:val="en-US" w:eastAsia="zh-CN"/>
        </w:rPr>
      </w:pPr>
    </w:p>
    <w:p w14:paraId="3CBD07AB">
      <w:pPr>
        <w:jc w:val="center"/>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附表3：综合评分表</w:t>
      </w:r>
    </w:p>
    <w:tbl>
      <w:tblPr>
        <w:tblStyle w:val="46"/>
        <w:tblW w:w="932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2"/>
        <w:gridCol w:w="2232"/>
        <w:gridCol w:w="6338"/>
      </w:tblGrid>
      <w:tr w14:paraId="02076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6" w:hRule="atLeast"/>
          <w:jc w:val="center"/>
        </w:trPr>
        <w:tc>
          <w:tcPr>
            <w:tcW w:w="752" w:type="dxa"/>
            <w:vAlign w:val="center"/>
          </w:tcPr>
          <w:p w14:paraId="4522D612">
            <w:pPr>
              <w:pStyle w:val="231"/>
              <w:keepNext w:val="0"/>
              <w:keepLines w:val="0"/>
              <w:pageBreakBefore w:val="0"/>
              <w:kinsoku/>
              <w:wordWrap/>
              <w:overflowPunct/>
              <w:topLinePunct w:val="0"/>
              <w:autoSpaceDE/>
              <w:autoSpaceDN/>
              <w:bidi w:val="0"/>
              <w:adjustRightInd/>
              <w:spacing w:line="324" w:lineRule="auto"/>
              <w:jc w:val="center"/>
              <w:textAlignment w:val="auto"/>
              <w:rPr>
                <w:sz w:val="21"/>
                <w:szCs w:val="21"/>
              </w:rPr>
            </w:pPr>
            <w:r>
              <w:rPr>
                <w:sz w:val="21"/>
                <w:szCs w:val="21"/>
              </w:rPr>
              <w:t>评审因素</w:t>
            </w:r>
          </w:p>
        </w:tc>
        <w:tc>
          <w:tcPr>
            <w:tcW w:w="8570" w:type="dxa"/>
            <w:gridSpan w:val="2"/>
            <w:vAlign w:val="center"/>
          </w:tcPr>
          <w:p w14:paraId="1442FDF6">
            <w:pPr>
              <w:pStyle w:val="231"/>
              <w:keepNext w:val="0"/>
              <w:keepLines w:val="0"/>
              <w:pageBreakBefore w:val="0"/>
              <w:kinsoku/>
              <w:wordWrap/>
              <w:overflowPunct/>
              <w:topLinePunct w:val="0"/>
              <w:autoSpaceDE/>
              <w:autoSpaceDN/>
              <w:bidi w:val="0"/>
              <w:adjustRightInd/>
              <w:spacing w:line="324" w:lineRule="auto"/>
              <w:jc w:val="center"/>
              <w:textAlignment w:val="auto"/>
              <w:rPr>
                <w:sz w:val="21"/>
                <w:szCs w:val="21"/>
              </w:rPr>
            </w:pPr>
            <w:r>
              <w:rPr>
                <w:sz w:val="21"/>
                <w:szCs w:val="21"/>
              </w:rPr>
              <w:t>评审标准</w:t>
            </w:r>
          </w:p>
        </w:tc>
      </w:tr>
      <w:tr w14:paraId="4FEA3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2" w:hRule="atLeast"/>
          <w:jc w:val="center"/>
        </w:trPr>
        <w:tc>
          <w:tcPr>
            <w:tcW w:w="752" w:type="dxa"/>
            <w:vAlign w:val="center"/>
          </w:tcPr>
          <w:p w14:paraId="7F8CD03C">
            <w:pPr>
              <w:pStyle w:val="231"/>
              <w:keepNext w:val="0"/>
              <w:keepLines w:val="0"/>
              <w:pageBreakBefore w:val="0"/>
              <w:kinsoku/>
              <w:wordWrap/>
              <w:overflowPunct/>
              <w:topLinePunct w:val="0"/>
              <w:autoSpaceDE/>
              <w:autoSpaceDN/>
              <w:bidi w:val="0"/>
              <w:adjustRightInd/>
              <w:spacing w:line="324"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分值构成</w:t>
            </w:r>
          </w:p>
        </w:tc>
        <w:tc>
          <w:tcPr>
            <w:tcW w:w="8570" w:type="dxa"/>
            <w:gridSpan w:val="2"/>
          </w:tcPr>
          <w:p w14:paraId="1893AD29">
            <w:pPr>
              <w:pStyle w:val="231"/>
              <w:keepNext w:val="0"/>
              <w:keepLines w:val="0"/>
              <w:pageBreakBefore w:val="0"/>
              <w:kinsoku/>
              <w:wordWrap/>
              <w:overflowPunct/>
              <w:topLinePunct w:val="0"/>
              <w:autoSpaceDE/>
              <w:autoSpaceDN/>
              <w:bidi w:val="0"/>
              <w:adjustRightInd/>
              <w:spacing w:line="324" w:lineRule="auto"/>
              <w:textAlignment w:val="auto"/>
              <w:rPr>
                <w:rFonts w:hint="default" w:ascii="宋体" w:hAnsi="宋体" w:eastAsia="宋体" w:cs="宋体"/>
                <w:b/>
                <w:bCs/>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en-US" w:eastAsia="zh-CN"/>
              </w:rPr>
              <w:t xml:space="preserve"> </w:t>
            </w:r>
          </w:p>
          <w:p w14:paraId="4D0EC717">
            <w:pPr>
              <w:pStyle w:val="231"/>
              <w:keepNext w:val="0"/>
              <w:keepLines w:val="0"/>
              <w:pageBreakBefore w:val="0"/>
              <w:kinsoku/>
              <w:wordWrap/>
              <w:overflowPunct/>
              <w:topLinePunct w:val="0"/>
              <w:autoSpaceDE/>
              <w:autoSpaceDN/>
              <w:bidi w:val="0"/>
              <w:adjustRightInd/>
              <w:spacing w:line="324" w:lineRule="auto"/>
              <w:textAlignment w:val="auto"/>
              <w:rPr>
                <w:rFonts w:hint="default" w:ascii="宋体" w:hAnsi="宋体" w:eastAsia="宋体" w:cs="宋体"/>
                <w:b/>
                <w:bCs/>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en-US" w:eastAsia="zh-CN"/>
              </w:rPr>
              <w:t xml:space="preserve"> </w:t>
            </w:r>
          </w:p>
          <w:p w14:paraId="37132766">
            <w:pPr>
              <w:pStyle w:val="231"/>
              <w:keepNext w:val="0"/>
              <w:keepLines w:val="0"/>
              <w:pageBreakBefore w:val="0"/>
              <w:kinsoku/>
              <w:wordWrap/>
              <w:overflowPunct/>
              <w:topLinePunct w:val="0"/>
              <w:autoSpaceDE/>
              <w:autoSpaceDN/>
              <w:bidi w:val="0"/>
              <w:adjustRightInd/>
              <w:spacing w:line="324" w:lineRule="auto"/>
              <w:textAlignment w:val="auto"/>
              <w:rPr>
                <w:rFonts w:hint="default"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报价得分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.0分</w:t>
            </w:r>
          </w:p>
        </w:tc>
      </w:tr>
      <w:tr w14:paraId="1DCDC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752" w:type="dxa"/>
            <w:vMerge w:val="restart"/>
            <w:vAlign w:val="center"/>
          </w:tcPr>
          <w:p w14:paraId="7000226E">
            <w:pPr>
              <w:pStyle w:val="231"/>
              <w:keepNext w:val="0"/>
              <w:keepLines w:val="0"/>
              <w:pageBreakBefore w:val="0"/>
              <w:kinsoku/>
              <w:wordWrap/>
              <w:overflowPunct/>
              <w:topLinePunct w:val="0"/>
              <w:autoSpaceDE/>
              <w:autoSpaceDN/>
              <w:bidi w:val="0"/>
              <w:adjustRightInd/>
              <w:spacing w:line="324" w:lineRule="auto"/>
              <w:jc w:val="center"/>
              <w:textAlignment w:val="auto"/>
              <w:rPr>
                <w:sz w:val="21"/>
                <w:szCs w:val="21"/>
              </w:rPr>
            </w:pPr>
            <w:r>
              <w:rPr>
                <w:sz w:val="21"/>
                <w:szCs w:val="21"/>
              </w:rPr>
              <w:t>技术部分</w:t>
            </w:r>
          </w:p>
        </w:tc>
        <w:tc>
          <w:tcPr>
            <w:tcW w:w="2232" w:type="dxa"/>
            <w:vAlign w:val="center"/>
          </w:tcPr>
          <w:p w14:paraId="46682E16">
            <w:pPr>
              <w:pStyle w:val="18"/>
              <w:keepNext w:val="0"/>
              <w:keepLines w:val="0"/>
              <w:pageBreakBefore w:val="0"/>
              <w:kinsoku/>
              <w:wordWrap/>
              <w:overflowPunct/>
              <w:topLinePunct w:val="0"/>
              <w:autoSpaceDE/>
              <w:autoSpaceDN/>
              <w:bidi w:val="0"/>
              <w:adjustRightInd/>
              <w:spacing w:line="324"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技术</w:t>
            </w:r>
            <w:r>
              <w:rPr>
                <w:rFonts w:hint="eastAsia" w:ascii="宋体" w:hAnsi="宋体" w:cs="宋体"/>
                <w:sz w:val="21"/>
                <w:szCs w:val="21"/>
                <w:lang w:val="en-US" w:eastAsia="zh-CN"/>
              </w:rPr>
              <w:t>（服务）</w:t>
            </w:r>
            <w:r>
              <w:rPr>
                <w:rFonts w:hint="eastAsia" w:ascii="宋体" w:hAnsi="宋体" w:eastAsia="宋体" w:cs="宋体"/>
                <w:sz w:val="21"/>
                <w:szCs w:val="21"/>
                <w:lang w:val="en-US" w:eastAsia="zh-CN"/>
              </w:rPr>
              <w:t>要求响应情况</w:t>
            </w:r>
          </w:p>
          <w:p w14:paraId="2BE9DDEA">
            <w:pPr>
              <w:pStyle w:val="18"/>
              <w:keepNext w:val="0"/>
              <w:keepLines w:val="0"/>
              <w:pageBreakBefore w:val="0"/>
              <w:kinsoku/>
              <w:wordWrap/>
              <w:overflowPunct/>
              <w:topLinePunct w:val="0"/>
              <w:autoSpaceDE/>
              <w:autoSpaceDN/>
              <w:bidi w:val="0"/>
              <w:adjustRightInd/>
              <w:spacing w:line="324"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lang w:eastAsia="zh-CN"/>
              </w:rPr>
              <w:t>）</w:t>
            </w:r>
          </w:p>
        </w:tc>
        <w:tc>
          <w:tcPr>
            <w:tcW w:w="6338" w:type="dxa"/>
            <w:vAlign w:val="top"/>
          </w:tcPr>
          <w:p w14:paraId="402BF179">
            <w:pPr>
              <w:keepNext w:val="0"/>
              <w:keepLines w:val="0"/>
              <w:pageBreakBefore w:val="0"/>
              <w:kinsoku/>
              <w:wordWrap/>
              <w:overflowPunct/>
              <w:topLinePunct w:val="0"/>
              <w:autoSpaceDE/>
              <w:autoSpaceDN/>
              <w:bidi w:val="0"/>
              <w:adjustRightInd/>
              <w:spacing w:line="324" w:lineRule="auto"/>
              <w:textAlignment w:val="auto"/>
              <w:rPr>
                <w:rFonts w:hint="eastAsia" w:ascii="宋体" w:hAnsi="宋体" w:cs="宋体"/>
                <w:sz w:val="21"/>
                <w:szCs w:val="21"/>
                <w:lang w:eastAsia="zh-CN"/>
              </w:rPr>
            </w:pPr>
            <w:r>
              <w:rPr>
                <w:rFonts w:hint="eastAsia" w:ascii="宋体" w:hAnsi="宋体" w:eastAsia="宋体" w:cs="宋体"/>
                <w:sz w:val="21"/>
                <w:szCs w:val="21"/>
              </w:rPr>
              <w:t>根据各供应商对</w:t>
            </w:r>
            <w:r>
              <w:rPr>
                <w:rFonts w:hint="eastAsia" w:ascii="宋体" w:hAnsi="宋体" w:cs="宋体"/>
                <w:sz w:val="21"/>
                <w:szCs w:val="21"/>
                <w:lang w:eastAsia="zh-CN"/>
              </w:rPr>
              <w:t>《用户需求书》</w:t>
            </w:r>
            <w:r>
              <w:rPr>
                <w:rFonts w:hint="eastAsia" w:ascii="宋体" w:hAnsi="宋体" w:cs="宋体"/>
                <w:sz w:val="21"/>
                <w:szCs w:val="21"/>
                <w:lang w:val="en-US" w:eastAsia="zh-CN"/>
              </w:rPr>
              <w:t>中“技术要求”的：“服务要求”全部</w:t>
            </w:r>
            <w:r>
              <w:rPr>
                <w:rFonts w:hint="eastAsia" w:ascii="宋体" w:hAnsi="宋体" w:eastAsia="宋体" w:cs="宋体"/>
                <w:sz w:val="21"/>
                <w:szCs w:val="21"/>
              </w:rPr>
              <w:t>条款响应程度进行评审</w:t>
            </w:r>
            <w:r>
              <w:rPr>
                <w:rFonts w:hint="eastAsia" w:ascii="宋体" w:hAnsi="宋体" w:cs="宋体"/>
                <w:sz w:val="21"/>
                <w:szCs w:val="21"/>
                <w:lang w:eastAsia="zh-CN"/>
              </w:rPr>
              <w:t>：</w:t>
            </w:r>
          </w:p>
          <w:p w14:paraId="21D024BA">
            <w:pPr>
              <w:keepNext w:val="0"/>
              <w:keepLines w:val="0"/>
              <w:pageBreakBefore w:val="0"/>
              <w:kinsoku/>
              <w:wordWrap/>
              <w:overflowPunct/>
              <w:topLinePunct w:val="0"/>
              <w:autoSpaceDE/>
              <w:autoSpaceDN/>
              <w:bidi w:val="0"/>
              <w:adjustRightInd/>
              <w:spacing w:line="324" w:lineRule="auto"/>
              <w:textAlignment w:val="auto"/>
              <w:rPr>
                <w:rFonts w:hint="eastAsia" w:ascii="宋体" w:hAnsi="宋体" w:eastAsia="宋体" w:cs="宋体"/>
                <w:sz w:val="21"/>
                <w:szCs w:val="21"/>
              </w:rPr>
            </w:pPr>
            <w:r>
              <w:rPr>
                <w:rFonts w:hint="eastAsia" w:ascii="宋体" w:hAnsi="宋体" w:eastAsia="宋体" w:cs="宋体"/>
                <w:szCs w:val="21"/>
                <w:lang w:val="en-US" w:eastAsia="zh-CN"/>
              </w:rPr>
              <w:t>每响应或优于满足1项的得1分，本项最高得8分。</w:t>
            </w:r>
          </w:p>
          <w:p w14:paraId="58DD79A7">
            <w:pPr>
              <w:keepNext w:val="0"/>
              <w:keepLines w:val="0"/>
              <w:pageBreakBefore w:val="0"/>
              <w:kinsoku/>
              <w:wordWrap/>
              <w:overflowPunct/>
              <w:topLinePunct w:val="0"/>
              <w:autoSpaceDE/>
              <w:autoSpaceDN/>
              <w:bidi w:val="0"/>
              <w:adjustRightInd/>
              <w:spacing w:line="324" w:lineRule="auto"/>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注：以供应商提供的《技术要求响应表》为准。</w:t>
            </w:r>
            <w:r>
              <w:rPr>
                <w:rFonts w:hint="eastAsia" w:ascii="宋体" w:hAnsi="宋体" w:cs="宋体"/>
                <w:sz w:val="21"/>
                <w:szCs w:val="21"/>
                <w:lang w:eastAsia="zh-CN"/>
              </w:rPr>
              <w:t>】</w:t>
            </w:r>
          </w:p>
        </w:tc>
      </w:tr>
      <w:tr w14:paraId="1F272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6" w:hRule="atLeast"/>
          <w:jc w:val="center"/>
        </w:trPr>
        <w:tc>
          <w:tcPr>
            <w:tcW w:w="752" w:type="dxa"/>
            <w:vMerge w:val="continue"/>
            <w:vAlign w:val="center"/>
          </w:tcPr>
          <w:p w14:paraId="151BCC1C">
            <w:pPr>
              <w:keepNext w:val="0"/>
              <w:keepLines w:val="0"/>
              <w:pageBreakBefore w:val="0"/>
              <w:kinsoku/>
              <w:wordWrap/>
              <w:overflowPunct/>
              <w:topLinePunct w:val="0"/>
              <w:autoSpaceDE/>
              <w:autoSpaceDN/>
              <w:bidi w:val="0"/>
              <w:adjustRightInd/>
              <w:spacing w:line="324" w:lineRule="auto"/>
              <w:jc w:val="center"/>
              <w:textAlignment w:val="auto"/>
              <w:rPr>
                <w:sz w:val="21"/>
                <w:szCs w:val="21"/>
              </w:rPr>
            </w:pPr>
          </w:p>
        </w:tc>
        <w:tc>
          <w:tcPr>
            <w:tcW w:w="2232" w:type="dxa"/>
            <w:shd w:val="clear" w:color="auto" w:fill="auto"/>
            <w:vAlign w:val="center"/>
          </w:tcPr>
          <w:p w14:paraId="57730F5F">
            <w:pPr>
              <w:keepNext w:val="0"/>
              <w:keepLines w:val="0"/>
              <w:pageBreakBefore w:val="0"/>
              <w:kinsoku/>
              <w:wordWrap/>
              <w:overflowPunct/>
              <w:topLinePunct w:val="0"/>
              <w:autoSpaceDE/>
              <w:autoSpaceDN/>
              <w:bidi w:val="0"/>
              <w:adjustRightInd/>
              <w:spacing w:line="324" w:lineRule="auto"/>
              <w:jc w:val="center"/>
              <w:textAlignment w:val="auto"/>
              <w:rPr>
                <w:color w:val="auto"/>
              </w:rPr>
            </w:pPr>
            <w:r>
              <w:t>物流服</w:t>
            </w:r>
            <w:r>
              <w:rPr>
                <w:color w:val="auto"/>
              </w:rPr>
              <w:t>务方案</w:t>
            </w:r>
          </w:p>
          <w:p w14:paraId="09FD39B8">
            <w:pPr>
              <w:keepNext w:val="0"/>
              <w:keepLines w:val="0"/>
              <w:pageBreakBefore w:val="0"/>
              <w:kinsoku/>
              <w:wordWrap/>
              <w:overflowPunct/>
              <w:topLinePunct w:val="0"/>
              <w:autoSpaceDE/>
              <w:autoSpaceDN/>
              <w:bidi w:val="0"/>
              <w:adjustRightInd/>
              <w:spacing w:line="324"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7</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6338" w:type="dxa"/>
            <w:shd w:val="clear" w:color="auto" w:fill="auto"/>
            <w:vAlign w:val="center"/>
          </w:tcPr>
          <w:p w14:paraId="0039ED72">
            <w:pPr>
              <w:pStyle w:val="13"/>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textAlignment w:val="auto"/>
              <w:rPr>
                <w:rFonts w:hint="eastAsia" w:ascii="宋体" w:hAnsi="宋体" w:eastAsia="宋体" w:cs="宋体"/>
              </w:rPr>
            </w:pPr>
            <w:r>
              <w:rPr>
                <w:rFonts w:hint="eastAsia" w:ascii="宋体" w:hAnsi="宋体" w:eastAsia="宋体" w:cs="宋体"/>
              </w:rPr>
              <w:t>根据各</w:t>
            </w:r>
            <w:r>
              <w:rPr>
                <w:rFonts w:hint="eastAsia" w:ascii="宋体" w:hAnsi="宋体" w:eastAsia="宋体" w:cs="宋体"/>
                <w:lang w:val="en-US" w:eastAsia="zh-CN"/>
              </w:rPr>
              <w:t>供应商针对《</w:t>
            </w:r>
            <w:r>
              <w:rPr>
                <w:rFonts w:hint="eastAsia" w:ascii="宋体" w:hAnsi="宋体" w:cs="宋体"/>
                <w:sz w:val="21"/>
                <w:szCs w:val="21"/>
                <w:lang w:eastAsia="zh-CN"/>
              </w:rPr>
              <w:t>用户需求书</w:t>
            </w:r>
            <w:r>
              <w:rPr>
                <w:rFonts w:hint="eastAsia" w:ascii="宋体" w:hAnsi="宋体" w:eastAsia="宋体" w:cs="宋体"/>
                <w:lang w:val="en-US" w:eastAsia="zh-CN"/>
              </w:rPr>
              <w:t>》</w:t>
            </w:r>
            <w:r>
              <w:rPr>
                <w:rFonts w:hint="eastAsia" w:ascii="宋体" w:hAnsi="宋体" w:eastAsia="宋体" w:cs="宋体"/>
              </w:rPr>
              <w:t>提供的物流服务方案（包括但不限于质量标准及保障措施、标本的接收与运输流程等）进行评审：</w:t>
            </w:r>
          </w:p>
          <w:p w14:paraId="264FA472">
            <w:pPr>
              <w:pStyle w:val="13"/>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textAlignment w:val="auto"/>
              <w:rPr>
                <w:rFonts w:hint="eastAsia" w:ascii="宋体" w:hAnsi="宋体" w:eastAsia="宋体" w:cs="宋体"/>
              </w:rPr>
            </w:pPr>
            <w:r>
              <w:rPr>
                <w:rFonts w:hint="eastAsia" w:ascii="宋体" w:hAnsi="宋体" w:eastAsia="宋体" w:cs="宋体"/>
                <w:kern w:val="0"/>
                <w:sz w:val="21"/>
                <w:lang w:val="en-US" w:eastAsia="zh-CN" w:bidi="ar-SA"/>
              </w:rPr>
              <w:t>1.</w:t>
            </w:r>
            <w:r>
              <w:rPr>
                <w:rFonts w:hint="eastAsia" w:ascii="宋体" w:hAnsi="宋体" w:eastAsia="宋体" w:cs="宋体"/>
              </w:rPr>
              <w:t>物流服务方案内容完整，质量标准及保障措施合理可行，标本的接收与运输流程清晰明了，配套设备齐全，完全满足项目需求的，得</w:t>
            </w:r>
            <w:r>
              <w:rPr>
                <w:rFonts w:hint="eastAsia" w:ascii="宋体" w:hAnsi="宋体" w:cs="宋体"/>
                <w:lang w:val="en-US" w:eastAsia="zh-CN"/>
              </w:rPr>
              <w:t>7</w:t>
            </w:r>
            <w:r>
              <w:rPr>
                <w:rFonts w:hint="eastAsia" w:ascii="宋体" w:hAnsi="宋体" w:eastAsia="宋体" w:cs="宋体"/>
              </w:rPr>
              <w:t>分；</w:t>
            </w:r>
          </w:p>
          <w:p w14:paraId="1809276D">
            <w:pPr>
              <w:pStyle w:val="13"/>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textAlignment w:val="auto"/>
              <w:rPr>
                <w:rFonts w:hint="eastAsia" w:ascii="宋体" w:hAnsi="宋体" w:eastAsia="宋体" w:cs="宋体"/>
              </w:rPr>
            </w:pPr>
            <w:r>
              <w:rPr>
                <w:rFonts w:hint="eastAsia" w:ascii="宋体" w:hAnsi="宋体" w:eastAsia="宋体" w:cs="宋体"/>
                <w:kern w:val="0"/>
                <w:sz w:val="21"/>
                <w:lang w:val="en-US" w:eastAsia="zh-CN" w:bidi="ar-SA"/>
              </w:rPr>
              <w:t>2.</w:t>
            </w:r>
            <w:r>
              <w:rPr>
                <w:rFonts w:hint="eastAsia" w:ascii="宋体" w:hAnsi="宋体" w:eastAsia="宋体" w:cs="宋体"/>
              </w:rPr>
              <w:t>物流服务方案内容一般，质量标准及保障措施基本合理可行，标本的接收与运输流程基本清晰明了，配套设备较齐全，基本满足项目需求的，得</w:t>
            </w:r>
            <w:r>
              <w:rPr>
                <w:rFonts w:hint="eastAsia" w:ascii="宋体" w:hAnsi="宋体" w:cs="宋体"/>
                <w:lang w:val="en-US" w:eastAsia="zh-CN"/>
              </w:rPr>
              <w:t>4</w:t>
            </w:r>
            <w:r>
              <w:rPr>
                <w:rFonts w:hint="eastAsia" w:ascii="宋体" w:hAnsi="宋体" w:eastAsia="宋体" w:cs="宋体"/>
              </w:rPr>
              <w:t>分；</w:t>
            </w:r>
          </w:p>
          <w:p w14:paraId="3DAEB7AE">
            <w:pPr>
              <w:pStyle w:val="13"/>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textAlignment w:val="auto"/>
              <w:rPr>
                <w:rFonts w:hint="eastAsia" w:ascii="宋体" w:hAnsi="宋体" w:eastAsia="宋体" w:cs="宋体"/>
              </w:rPr>
            </w:pPr>
            <w:r>
              <w:rPr>
                <w:rFonts w:hint="eastAsia" w:ascii="宋体" w:hAnsi="宋体" w:eastAsia="宋体" w:cs="宋体"/>
              </w:rPr>
              <w:t>3.物流服务方案内容简略，质量标准及保障措施不</w:t>
            </w:r>
            <w:r>
              <w:rPr>
                <w:rFonts w:hint="eastAsia" w:ascii="宋体" w:hAnsi="宋体" w:cs="宋体"/>
                <w:lang w:val="en-US" w:eastAsia="zh-CN"/>
              </w:rPr>
              <w:t>够</w:t>
            </w:r>
            <w:r>
              <w:rPr>
                <w:rFonts w:hint="eastAsia" w:ascii="宋体" w:hAnsi="宋体" w:eastAsia="宋体" w:cs="宋体"/>
              </w:rPr>
              <w:t>可行，标本的接收与运输流程不够清晰明了，配套设备较差，不能满足项目需求的，得</w:t>
            </w:r>
            <w:r>
              <w:rPr>
                <w:rFonts w:hint="eastAsia" w:ascii="宋体" w:hAnsi="宋体" w:cs="宋体"/>
                <w:lang w:val="en-US" w:eastAsia="zh-CN"/>
              </w:rPr>
              <w:t>1</w:t>
            </w:r>
            <w:r>
              <w:rPr>
                <w:rFonts w:hint="eastAsia" w:ascii="宋体" w:hAnsi="宋体" w:eastAsia="宋体" w:cs="宋体"/>
              </w:rPr>
              <w:t>分；</w:t>
            </w:r>
          </w:p>
          <w:p w14:paraId="2CA65929">
            <w:pPr>
              <w:pStyle w:val="13"/>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rPr>
              <w:t>4.未提供相关方案的，</w:t>
            </w:r>
            <w:r>
              <w:rPr>
                <w:rFonts w:hint="eastAsia" w:ascii="宋体" w:hAnsi="宋体" w:eastAsia="宋体" w:cs="宋体"/>
                <w:lang w:val="en-US" w:eastAsia="zh-CN"/>
              </w:rPr>
              <w:t>不得分</w:t>
            </w:r>
            <w:r>
              <w:rPr>
                <w:rFonts w:hint="eastAsia" w:ascii="宋体" w:hAnsi="宋体" w:eastAsia="宋体" w:cs="宋体"/>
              </w:rPr>
              <w:t>。</w:t>
            </w:r>
          </w:p>
        </w:tc>
      </w:tr>
      <w:tr w14:paraId="19488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6" w:hRule="atLeast"/>
          <w:jc w:val="center"/>
        </w:trPr>
        <w:tc>
          <w:tcPr>
            <w:tcW w:w="752" w:type="dxa"/>
            <w:vMerge w:val="continue"/>
            <w:vAlign w:val="center"/>
          </w:tcPr>
          <w:p w14:paraId="1B5A5148">
            <w:pPr>
              <w:keepNext w:val="0"/>
              <w:keepLines w:val="0"/>
              <w:pageBreakBefore w:val="0"/>
              <w:kinsoku/>
              <w:wordWrap/>
              <w:overflowPunct/>
              <w:topLinePunct w:val="0"/>
              <w:autoSpaceDE/>
              <w:autoSpaceDN/>
              <w:bidi w:val="0"/>
              <w:adjustRightInd/>
              <w:spacing w:line="324" w:lineRule="auto"/>
              <w:jc w:val="center"/>
              <w:textAlignment w:val="auto"/>
              <w:rPr>
                <w:rFonts w:hint="eastAsia" w:eastAsia="宋体"/>
                <w:sz w:val="21"/>
                <w:szCs w:val="21"/>
                <w:lang w:eastAsia="zh-CN"/>
              </w:rPr>
            </w:pPr>
            <w:r>
              <w:rPr>
                <w:rFonts w:hint="eastAsia"/>
                <w:sz w:val="21"/>
                <w:szCs w:val="21"/>
                <w:lang w:eastAsia="zh-CN"/>
              </w:rPr>
              <w:t xml:space="preserve"> </w:t>
            </w:r>
          </w:p>
        </w:tc>
        <w:tc>
          <w:tcPr>
            <w:tcW w:w="2232" w:type="dxa"/>
            <w:vAlign w:val="center"/>
          </w:tcPr>
          <w:p w14:paraId="73561DAC">
            <w:pPr>
              <w:keepNext w:val="0"/>
              <w:keepLines w:val="0"/>
              <w:pageBreakBefore w:val="0"/>
              <w:kinsoku/>
              <w:wordWrap/>
              <w:overflowPunct/>
              <w:topLinePunct w:val="0"/>
              <w:autoSpaceDE/>
              <w:autoSpaceDN/>
              <w:bidi w:val="0"/>
              <w:adjustRightInd/>
              <w:snapToGrid w:val="0"/>
              <w:spacing w:line="324"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应急</w:t>
            </w:r>
            <w:r>
              <w:rPr>
                <w:rFonts w:hint="eastAsia" w:ascii="宋体" w:hAnsi="宋体" w:cs="宋体"/>
                <w:sz w:val="21"/>
                <w:szCs w:val="21"/>
                <w:lang w:val="en-US" w:eastAsia="zh-CN"/>
              </w:rPr>
              <w:t>处理</w:t>
            </w:r>
            <w:r>
              <w:rPr>
                <w:rFonts w:hint="eastAsia" w:ascii="宋体" w:hAnsi="宋体" w:eastAsia="宋体" w:cs="宋体"/>
                <w:sz w:val="21"/>
                <w:szCs w:val="21"/>
              </w:rPr>
              <w:t>方案</w:t>
            </w:r>
          </w:p>
          <w:p w14:paraId="36E5D97F">
            <w:pPr>
              <w:keepNext w:val="0"/>
              <w:keepLines w:val="0"/>
              <w:pageBreakBefore w:val="0"/>
              <w:kinsoku/>
              <w:wordWrap/>
              <w:overflowPunct/>
              <w:topLinePunct w:val="0"/>
              <w:autoSpaceDE/>
              <w:autoSpaceDN/>
              <w:bidi w:val="0"/>
              <w:adjustRightInd/>
              <w:snapToGrid w:val="0"/>
              <w:spacing w:line="324"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cs="宋体"/>
                <w:color w:val="auto"/>
                <w:sz w:val="21"/>
                <w:szCs w:val="21"/>
                <w:lang w:val="en-US" w:eastAsia="zh-CN"/>
              </w:rPr>
              <w:t>7</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6338" w:type="dxa"/>
            <w:vAlign w:val="center"/>
          </w:tcPr>
          <w:p w14:paraId="0346499C">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rPr>
            </w:pPr>
            <w:r>
              <w:rPr>
                <w:rFonts w:hint="eastAsia" w:ascii="宋体" w:hAnsi="宋体" w:eastAsia="宋体" w:cs="宋体"/>
                <w:sz w:val="21"/>
                <w:szCs w:val="21"/>
              </w:rPr>
              <w:t>根据各供应商针对本项目</w:t>
            </w:r>
            <w:r>
              <w:rPr>
                <w:rFonts w:hint="eastAsia" w:ascii="宋体" w:hAnsi="宋体" w:eastAsia="宋体" w:cs="宋体"/>
                <w:kern w:val="0"/>
                <w:sz w:val="21"/>
                <w:szCs w:val="21"/>
                <w:lang w:val="en-US" w:eastAsia="zh-CN" w:bidi="ar-SA"/>
              </w:rPr>
              <w:t>《</w:t>
            </w:r>
            <w:r>
              <w:rPr>
                <w:rFonts w:hint="eastAsia" w:ascii="宋体" w:hAnsi="宋体" w:eastAsia="宋体" w:cs="宋体"/>
                <w:sz w:val="21"/>
                <w:szCs w:val="21"/>
                <w:lang w:eastAsia="zh-CN"/>
              </w:rPr>
              <w:t>用户需求书</w:t>
            </w:r>
            <w:r>
              <w:rPr>
                <w:rFonts w:hint="eastAsia" w:ascii="宋体" w:hAnsi="宋体" w:eastAsia="宋体" w:cs="宋体"/>
                <w:kern w:val="0"/>
                <w:sz w:val="21"/>
                <w:szCs w:val="21"/>
                <w:lang w:val="en-US" w:eastAsia="zh-CN" w:bidi="ar-SA"/>
              </w:rPr>
              <w:t>》</w:t>
            </w:r>
            <w:r>
              <w:rPr>
                <w:rFonts w:hint="eastAsia" w:ascii="宋体" w:hAnsi="宋体" w:eastAsia="宋体" w:cs="宋体"/>
                <w:sz w:val="21"/>
                <w:szCs w:val="21"/>
              </w:rPr>
              <w:t>提供的应急</w:t>
            </w:r>
            <w:r>
              <w:rPr>
                <w:rFonts w:hint="eastAsia" w:ascii="宋体" w:hAnsi="宋体" w:eastAsia="宋体" w:cs="宋体"/>
                <w:sz w:val="21"/>
                <w:szCs w:val="21"/>
                <w:lang w:val="en-US" w:eastAsia="zh-CN"/>
              </w:rPr>
              <w:t>处理</w:t>
            </w:r>
            <w:r>
              <w:rPr>
                <w:rFonts w:hint="eastAsia" w:ascii="宋体" w:hAnsi="宋体" w:eastAsia="宋体" w:cs="宋体"/>
                <w:sz w:val="21"/>
                <w:szCs w:val="21"/>
              </w:rPr>
              <w:t>方案</w:t>
            </w:r>
            <w:r>
              <w:rPr>
                <w:rFonts w:hint="eastAsia" w:ascii="宋体" w:hAnsi="宋体" w:eastAsia="宋体" w:cs="宋体"/>
              </w:rPr>
              <w:t xml:space="preserve">（包括但不限于可能发生的突发情况分析及应对措施、采购人可能委派的紧急检测项目的应急处理措施、应急服务人员安排等）进行评审： </w:t>
            </w:r>
          </w:p>
          <w:p w14:paraId="78F30D6C">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rPr>
            </w:pPr>
            <w:r>
              <w:rPr>
                <w:rFonts w:hint="eastAsia" w:ascii="宋体" w:hAnsi="宋体" w:eastAsia="宋体" w:cs="宋体"/>
                <w:kern w:val="2"/>
                <w:sz w:val="21"/>
                <w:lang w:val="en-US" w:eastAsia="zh-CN" w:bidi="ar-SA"/>
              </w:rPr>
              <w:t>1.</w:t>
            </w:r>
            <w:r>
              <w:rPr>
                <w:rFonts w:hint="eastAsia" w:ascii="宋体" w:hAnsi="宋体" w:eastAsia="宋体" w:cs="宋体"/>
              </w:rPr>
              <w:t>应急处理方案考虑全面，能及时解决突发情况需求，保障采购人日常工作顺利进行，完全满足项目需求的，得</w:t>
            </w:r>
            <w:r>
              <w:rPr>
                <w:rFonts w:hint="eastAsia" w:ascii="宋体" w:hAnsi="宋体" w:cs="宋体"/>
                <w:lang w:val="en-US" w:eastAsia="zh-CN"/>
              </w:rPr>
              <w:t>7</w:t>
            </w:r>
            <w:r>
              <w:rPr>
                <w:rFonts w:hint="eastAsia" w:ascii="宋体" w:hAnsi="宋体" w:eastAsia="宋体" w:cs="宋体"/>
              </w:rPr>
              <w:t>分；</w:t>
            </w:r>
          </w:p>
          <w:p w14:paraId="3815AC71">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rPr>
            </w:pPr>
            <w:r>
              <w:rPr>
                <w:rFonts w:hint="eastAsia" w:ascii="宋体" w:hAnsi="宋体" w:eastAsia="宋体" w:cs="宋体"/>
                <w:kern w:val="2"/>
                <w:sz w:val="21"/>
                <w:szCs w:val="21"/>
                <w:lang w:val="en-US" w:eastAsia="zh-CN" w:bidi="ar-SA"/>
              </w:rPr>
              <w:t>2.</w:t>
            </w:r>
            <w:r>
              <w:rPr>
                <w:rFonts w:hint="eastAsia" w:ascii="宋体" w:hAnsi="宋体" w:eastAsia="宋体" w:cs="宋体"/>
              </w:rPr>
              <w:t>应急处理方案考虑基本全面，能及时解决突发情况需求，较能保障采购人日常工作顺利进行的，基本满足项目需求的，得</w:t>
            </w:r>
            <w:r>
              <w:rPr>
                <w:rFonts w:hint="eastAsia" w:ascii="宋体" w:hAnsi="宋体" w:cs="宋体"/>
                <w:lang w:val="en-US" w:eastAsia="zh-CN"/>
              </w:rPr>
              <w:t>4</w:t>
            </w:r>
            <w:r>
              <w:rPr>
                <w:rFonts w:hint="eastAsia" w:ascii="宋体" w:hAnsi="宋体" w:eastAsia="宋体" w:cs="宋体"/>
              </w:rPr>
              <w:t>分；</w:t>
            </w:r>
          </w:p>
          <w:p w14:paraId="4BF0430D">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rPr>
            </w:pPr>
            <w:r>
              <w:rPr>
                <w:rFonts w:hint="eastAsia" w:ascii="宋体" w:hAnsi="宋体" w:eastAsia="宋体" w:cs="宋体"/>
              </w:rPr>
              <w:t>3.应急处理方案脱离实际，勉强能解决突发情况需求，处理情况一般，不太能保障采购人日常工作顺利进行的，不能满足项目需求的，得</w:t>
            </w:r>
            <w:r>
              <w:rPr>
                <w:rFonts w:hint="eastAsia" w:ascii="宋体" w:hAnsi="宋体" w:cs="宋体"/>
                <w:lang w:val="en-US" w:eastAsia="zh-CN"/>
              </w:rPr>
              <w:t>1</w:t>
            </w:r>
            <w:r>
              <w:rPr>
                <w:rFonts w:hint="eastAsia" w:ascii="宋体" w:hAnsi="宋体" w:eastAsia="宋体" w:cs="宋体"/>
              </w:rPr>
              <w:t>分；</w:t>
            </w:r>
          </w:p>
          <w:p w14:paraId="32D9D573">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rPr>
              <w:t>4.未提供相关方案的</w:t>
            </w:r>
            <w:r>
              <w:rPr>
                <w:rFonts w:hint="eastAsia" w:ascii="宋体" w:hAnsi="宋体" w:eastAsia="宋体" w:cs="宋体"/>
                <w:lang w:eastAsia="zh-CN"/>
              </w:rPr>
              <w:t>，</w:t>
            </w:r>
            <w:r>
              <w:rPr>
                <w:rFonts w:hint="eastAsia" w:ascii="宋体" w:hAnsi="宋体" w:eastAsia="宋体" w:cs="宋体"/>
                <w:lang w:val="en-US" w:eastAsia="zh-CN"/>
              </w:rPr>
              <w:t>不得分</w:t>
            </w:r>
            <w:r>
              <w:rPr>
                <w:rFonts w:hint="eastAsia" w:ascii="宋体" w:hAnsi="宋体" w:eastAsia="宋体" w:cs="宋体"/>
              </w:rPr>
              <w:t>。</w:t>
            </w:r>
          </w:p>
        </w:tc>
      </w:tr>
      <w:tr w14:paraId="181A2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6" w:hRule="atLeast"/>
          <w:jc w:val="center"/>
        </w:trPr>
        <w:tc>
          <w:tcPr>
            <w:tcW w:w="752" w:type="dxa"/>
            <w:vMerge w:val="continue"/>
            <w:vAlign w:val="center"/>
          </w:tcPr>
          <w:p w14:paraId="3FE4D1D8">
            <w:pPr>
              <w:keepNext w:val="0"/>
              <w:keepLines w:val="0"/>
              <w:pageBreakBefore w:val="0"/>
              <w:kinsoku/>
              <w:wordWrap/>
              <w:overflowPunct/>
              <w:topLinePunct w:val="0"/>
              <w:autoSpaceDE/>
              <w:autoSpaceDN/>
              <w:bidi w:val="0"/>
              <w:adjustRightInd/>
              <w:spacing w:line="324" w:lineRule="auto"/>
              <w:jc w:val="center"/>
              <w:textAlignment w:val="auto"/>
              <w:rPr>
                <w:sz w:val="21"/>
                <w:szCs w:val="21"/>
              </w:rPr>
            </w:pPr>
          </w:p>
        </w:tc>
        <w:tc>
          <w:tcPr>
            <w:tcW w:w="2232" w:type="dxa"/>
            <w:vAlign w:val="center"/>
          </w:tcPr>
          <w:p w14:paraId="69059F6E">
            <w:pPr>
              <w:keepNext w:val="0"/>
              <w:keepLines w:val="0"/>
              <w:pageBreakBefore w:val="0"/>
              <w:kinsoku/>
              <w:wordWrap/>
              <w:overflowPunct/>
              <w:topLinePunct w:val="0"/>
              <w:autoSpaceDE/>
              <w:autoSpaceDN/>
              <w:bidi w:val="0"/>
              <w:adjustRightInd/>
              <w:snapToGrid w:val="0"/>
              <w:spacing w:line="324"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rPr>
              <w:t>检验服务方案</w:t>
            </w:r>
          </w:p>
          <w:p w14:paraId="2FD8C19A">
            <w:pPr>
              <w:pStyle w:val="13"/>
              <w:keepNext w:val="0"/>
              <w:keepLines w:val="0"/>
              <w:pageBreakBefore w:val="0"/>
              <w:kinsoku/>
              <w:wordWrap/>
              <w:overflowPunct/>
              <w:topLinePunct w:val="0"/>
              <w:autoSpaceDE/>
              <w:autoSpaceDN/>
              <w:bidi w:val="0"/>
              <w:adjustRightInd/>
              <w:spacing w:line="324" w:lineRule="auto"/>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b w:val="0"/>
                <w:bCs w:val="0"/>
                <w:sz w:val="21"/>
                <w:szCs w:val="21"/>
                <w:lang w:val="en-US" w:eastAsia="zh-CN"/>
              </w:rPr>
              <w:t>（</w:t>
            </w:r>
            <w:r>
              <w:rPr>
                <w:rFonts w:hint="eastAsia" w:ascii="宋体" w:hAnsi="宋体" w:cs="宋体"/>
                <w:b w:val="0"/>
                <w:bCs w:val="0"/>
                <w:color w:val="auto"/>
                <w:sz w:val="21"/>
                <w:szCs w:val="21"/>
                <w:lang w:val="en-US" w:eastAsia="zh-CN"/>
              </w:rPr>
              <w:t>8</w:t>
            </w:r>
            <w:r>
              <w:rPr>
                <w:rFonts w:hint="eastAsia" w:ascii="宋体" w:hAnsi="宋体" w:eastAsia="宋体" w:cs="宋体"/>
                <w:b w:val="0"/>
                <w:bCs w:val="0"/>
                <w:sz w:val="21"/>
                <w:szCs w:val="21"/>
                <w:lang w:val="en-US" w:eastAsia="zh-CN"/>
              </w:rPr>
              <w:t>分）</w:t>
            </w:r>
          </w:p>
        </w:tc>
        <w:tc>
          <w:tcPr>
            <w:tcW w:w="6338" w:type="dxa"/>
            <w:vAlign w:val="center"/>
          </w:tcPr>
          <w:p w14:paraId="4DEED9C6">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rPr>
            </w:pPr>
            <w:r>
              <w:rPr>
                <w:rFonts w:hint="eastAsia" w:ascii="宋体" w:hAnsi="宋体" w:eastAsia="宋体" w:cs="宋体"/>
              </w:rPr>
              <w:t>根据各</w:t>
            </w:r>
            <w:r>
              <w:rPr>
                <w:rFonts w:hint="eastAsia" w:ascii="宋体" w:hAnsi="宋体" w:eastAsia="宋体" w:cs="宋体"/>
                <w:sz w:val="21"/>
                <w:szCs w:val="21"/>
              </w:rPr>
              <w:t>供应商针对本项目</w:t>
            </w:r>
            <w:r>
              <w:rPr>
                <w:rFonts w:hint="eastAsia" w:ascii="宋体" w:hAnsi="宋体" w:eastAsia="宋体" w:cs="宋体"/>
                <w:kern w:val="0"/>
                <w:sz w:val="21"/>
                <w:szCs w:val="21"/>
                <w:lang w:val="en-US" w:eastAsia="zh-CN" w:bidi="ar-SA"/>
              </w:rPr>
              <w:t>《</w:t>
            </w:r>
            <w:r>
              <w:rPr>
                <w:rFonts w:hint="eastAsia" w:ascii="宋体" w:hAnsi="宋体" w:eastAsia="宋体" w:cs="宋体"/>
                <w:sz w:val="21"/>
                <w:szCs w:val="21"/>
                <w:lang w:eastAsia="zh-CN"/>
              </w:rPr>
              <w:t>用户需求书</w:t>
            </w:r>
            <w:r>
              <w:rPr>
                <w:rFonts w:hint="eastAsia" w:ascii="宋体" w:hAnsi="宋体" w:eastAsia="宋体" w:cs="宋体"/>
                <w:kern w:val="0"/>
                <w:sz w:val="21"/>
                <w:szCs w:val="21"/>
                <w:lang w:val="en-US" w:eastAsia="zh-CN" w:bidi="ar-SA"/>
              </w:rPr>
              <w:t>》</w:t>
            </w:r>
            <w:r>
              <w:rPr>
                <w:rFonts w:hint="eastAsia" w:ascii="宋体" w:hAnsi="宋体" w:eastAsia="宋体" w:cs="宋体"/>
              </w:rPr>
              <w:t xml:space="preserve">提供的检验服务方案（包括但不限于实验室检验方案、质量控制方案、管理制度的可操作性和科学性等情况）进行评审： </w:t>
            </w:r>
          </w:p>
          <w:p w14:paraId="0D0AE0DA">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rPr>
            </w:pPr>
            <w:r>
              <w:rPr>
                <w:rFonts w:hint="eastAsia" w:ascii="宋体" w:hAnsi="宋体" w:eastAsia="宋体" w:cs="宋体"/>
                <w:kern w:val="2"/>
                <w:sz w:val="21"/>
                <w:lang w:val="en-US" w:eastAsia="zh-CN" w:bidi="ar-SA"/>
              </w:rPr>
              <w:t>1.</w:t>
            </w:r>
            <w:r>
              <w:rPr>
                <w:rFonts w:hint="eastAsia" w:ascii="宋体" w:hAnsi="宋体" w:eastAsia="宋体" w:cs="宋体"/>
              </w:rPr>
              <w:t>检验服务方案内容详细，实验室检验方案全面，质量控制方案完善，管理制度的可操作性高、科学合理，完全满足项目需求的，得</w:t>
            </w:r>
            <w:r>
              <w:rPr>
                <w:rFonts w:hint="eastAsia" w:ascii="宋体" w:hAnsi="宋体" w:cs="宋体"/>
                <w:lang w:val="en-US" w:eastAsia="zh-CN"/>
              </w:rPr>
              <w:t>8</w:t>
            </w:r>
            <w:r>
              <w:rPr>
                <w:rFonts w:hint="eastAsia" w:ascii="宋体" w:hAnsi="宋体" w:eastAsia="宋体" w:cs="宋体"/>
              </w:rPr>
              <w:t xml:space="preserve">分； </w:t>
            </w:r>
          </w:p>
          <w:p w14:paraId="72A8B08B">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rPr>
            </w:pPr>
            <w:r>
              <w:rPr>
                <w:rFonts w:hint="eastAsia" w:ascii="宋体" w:hAnsi="宋体" w:eastAsia="宋体" w:cs="宋体"/>
                <w:b w:val="0"/>
                <w:bCs w:val="0"/>
                <w:kern w:val="2"/>
                <w:sz w:val="21"/>
                <w:szCs w:val="21"/>
                <w:lang w:val="en-US" w:eastAsia="zh-CN" w:bidi="ar-SA"/>
              </w:rPr>
              <w:t>2.</w:t>
            </w:r>
            <w:r>
              <w:rPr>
                <w:rFonts w:hint="eastAsia" w:ascii="宋体" w:hAnsi="宋体" w:eastAsia="宋体" w:cs="宋体"/>
              </w:rPr>
              <w:t>检验服务方案内容一般，实验室检验方案基本全面，质量控制方案基本完善，管理制度的可操作性尚可，基本满足项目需求的，得</w:t>
            </w:r>
            <w:r>
              <w:rPr>
                <w:rFonts w:hint="eastAsia" w:ascii="宋体" w:hAnsi="宋体" w:cs="宋体"/>
                <w:lang w:val="en-US" w:eastAsia="zh-CN"/>
              </w:rPr>
              <w:t>5</w:t>
            </w:r>
            <w:r>
              <w:rPr>
                <w:rFonts w:hint="eastAsia" w:ascii="宋体" w:hAnsi="宋体" w:eastAsia="宋体" w:cs="宋体"/>
              </w:rPr>
              <w:t>分；</w:t>
            </w:r>
          </w:p>
          <w:p w14:paraId="0A0A33FA">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rPr>
            </w:pPr>
            <w:r>
              <w:rPr>
                <w:rFonts w:hint="eastAsia" w:ascii="宋体" w:hAnsi="宋体" w:eastAsia="宋体" w:cs="宋体"/>
              </w:rPr>
              <w:t>3.检验服务方案内容简略，实验室检验方案模糊，质量控制方案较差，管理制度的可操作性不够实用，不能满足项目需求的，得</w:t>
            </w:r>
            <w:r>
              <w:rPr>
                <w:rFonts w:hint="eastAsia" w:ascii="宋体" w:hAnsi="宋体" w:cs="宋体"/>
                <w:lang w:val="en-US" w:eastAsia="zh-CN"/>
              </w:rPr>
              <w:t>2</w:t>
            </w:r>
            <w:r>
              <w:rPr>
                <w:rFonts w:hint="eastAsia" w:ascii="宋体" w:hAnsi="宋体" w:eastAsia="宋体" w:cs="宋体"/>
              </w:rPr>
              <w:t>分；</w:t>
            </w:r>
          </w:p>
          <w:p w14:paraId="2529751A">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rPr>
              <w:t>4.未提供相关方案的</w:t>
            </w:r>
            <w:r>
              <w:rPr>
                <w:rFonts w:hint="eastAsia" w:ascii="宋体" w:hAnsi="宋体" w:eastAsia="宋体" w:cs="宋体"/>
                <w:lang w:eastAsia="zh-CN"/>
              </w:rPr>
              <w:t>，</w:t>
            </w:r>
            <w:r>
              <w:rPr>
                <w:rFonts w:hint="eastAsia" w:ascii="宋体" w:hAnsi="宋体" w:eastAsia="宋体" w:cs="宋体"/>
                <w:lang w:val="en-US" w:eastAsia="zh-CN"/>
              </w:rPr>
              <w:t>不得分</w:t>
            </w:r>
            <w:r>
              <w:rPr>
                <w:rFonts w:hint="eastAsia" w:ascii="宋体" w:hAnsi="宋体" w:eastAsia="宋体" w:cs="宋体"/>
              </w:rPr>
              <w:t>。</w:t>
            </w:r>
          </w:p>
        </w:tc>
      </w:tr>
      <w:tr w14:paraId="1D813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6" w:hRule="atLeast"/>
          <w:jc w:val="center"/>
        </w:trPr>
        <w:tc>
          <w:tcPr>
            <w:tcW w:w="752" w:type="dxa"/>
            <w:vMerge w:val="continue"/>
            <w:vAlign w:val="center"/>
          </w:tcPr>
          <w:p w14:paraId="6833BD3C">
            <w:pPr>
              <w:keepNext w:val="0"/>
              <w:keepLines w:val="0"/>
              <w:pageBreakBefore w:val="0"/>
              <w:kinsoku/>
              <w:wordWrap/>
              <w:overflowPunct/>
              <w:topLinePunct w:val="0"/>
              <w:autoSpaceDE/>
              <w:autoSpaceDN/>
              <w:bidi w:val="0"/>
              <w:adjustRightInd/>
              <w:spacing w:line="324" w:lineRule="auto"/>
              <w:jc w:val="center"/>
              <w:textAlignment w:val="auto"/>
              <w:rPr>
                <w:sz w:val="21"/>
                <w:szCs w:val="21"/>
              </w:rPr>
            </w:pPr>
          </w:p>
        </w:tc>
        <w:tc>
          <w:tcPr>
            <w:tcW w:w="2232" w:type="dxa"/>
            <w:vAlign w:val="center"/>
          </w:tcPr>
          <w:p w14:paraId="75EF4C56">
            <w:pPr>
              <w:keepNext w:val="0"/>
              <w:keepLines w:val="0"/>
              <w:pageBreakBefore w:val="0"/>
              <w:kinsoku/>
              <w:wordWrap/>
              <w:overflowPunct/>
              <w:topLinePunct w:val="0"/>
              <w:autoSpaceDE/>
              <w:autoSpaceDN/>
              <w:bidi w:val="0"/>
              <w:adjustRightInd/>
              <w:snapToGrid w:val="0"/>
              <w:spacing w:line="324" w:lineRule="auto"/>
              <w:jc w:val="center"/>
              <w:textAlignment w:val="auto"/>
            </w:pPr>
            <w:r>
              <w:rPr>
                <w:rFonts w:hint="eastAsia"/>
                <w:lang w:val="en-US" w:eastAsia="zh-CN"/>
              </w:rPr>
              <w:t>其他</w:t>
            </w:r>
            <w:r>
              <w:t>服务方案</w:t>
            </w:r>
          </w:p>
          <w:p w14:paraId="74AF6A49">
            <w:pPr>
              <w:keepNext w:val="0"/>
              <w:keepLines w:val="0"/>
              <w:pageBreakBefore w:val="0"/>
              <w:kinsoku/>
              <w:wordWrap/>
              <w:overflowPunct/>
              <w:topLinePunct w:val="0"/>
              <w:autoSpaceDE/>
              <w:autoSpaceDN/>
              <w:bidi w:val="0"/>
              <w:adjustRightInd/>
              <w:snapToGrid w:val="0"/>
              <w:spacing w:line="324"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r>
              <w:rPr>
                <w:rFonts w:hint="eastAsia" w:ascii="宋体" w:hAnsi="宋体" w:cs="宋体"/>
                <w:b w:val="0"/>
                <w:bCs w:val="0"/>
                <w:color w:val="auto"/>
                <w:sz w:val="21"/>
                <w:szCs w:val="21"/>
                <w:lang w:val="en-US" w:eastAsia="zh-CN"/>
              </w:rPr>
              <w:t>7</w:t>
            </w:r>
            <w:r>
              <w:rPr>
                <w:rFonts w:hint="eastAsia" w:ascii="宋体" w:hAnsi="宋体" w:eastAsia="宋体" w:cs="宋体"/>
                <w:b w:val="0"/>
                <w:bCs w:val="0"/>
                <w:sz w:val="21"/>
                <w:szCs w:val="21"/>
                <w:lang w:val="en-US" w:eastAsia="zh-CN"/>
              </w:rPr>
              <w:t>分）</w:t>
            </w:r>
          </w:p>
        </w:tc>
        <w:tc>
          <w:tcPr>
            <w:tcW w:w="6338" w:type="dxa"/>
            <w:vAlign w:val="center"/>
          </w:tcPr>
          <w:p w14:paraId="122B171F">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rPr>
            </w:pPr>
            <w:r>
              <w:rPr>
                <w:rFonts w:hint="eastAsia" w:ascii="宋体" w:hAnsi="宋体" w:eastAsia="宋体" w:cs="宋体"/>
              </w:rPr>
              <w:t>根据各</w:t>
            </w:r>
            <w:r>
              <w:rPr>
                <w:rFonts w:hint="eastAsia" w:ascii="宋体" w:hAnsi="宋体" w:eastAsia="宋体" w:cs="宋体"/>
                <w:sz w:val="21"/>
                <w:szCs w:val="21"/>
              </w:rPr>
              <w:t>供应商针对本项目</w:t>
            </w:r>
            <w:r>
              <w:rPr>
                <w:rFonts w:hint="eastAsia" w:ascii="宋体" w:hAnsi="宋体" w:eastAsia="宋体" w:cs="宋体"/>
                <w:kern w:val="0"/>
                <w:sz w:val="21"/>
                <w:szCs w:val="21"/>
                <w:lang w:val="en-US" w:eastAsia="zh-CN" w:bidi="ar-SA"/>
              </w:rPr>
              <w:t>《</w:t>
            </w:r>
            <w:r>
              <w:rPr>
                <w:rFonts w:hint="eastAsia" w:ascii="宋体" w:hAnsi="宋体" w:eastAsia="宋体" w:cs="宋体"/>
                <w:sz w:val="21"/>
                <w:szCs w:val="21"/>
                <w:lang w:eastAsia="zh-CN"/>
              </w:rPr>
              <w:t>用户需求书</w:t>
            </w:r>
            <w:r>
              <w:rPr>
                <w:rFonts w:hint="eastAsia" w:ascii="宋体" w:hAnsi="宋体" w:eastAsia="宋体" w:cs="宋体"/>
                <w:kern w:val="0"/>
                <w:sz w:val="21"/>
                <w:szCs w:val="21"/>
                <w:lang w:val="en-US" w:eastAsia="zh-CN" w:bidi="ar-SA"/>
              </w:rPr>
              <w:t>》</w:t>
            </w:r>
            <w:r>
              <w:rPr>
                <w:rFonts w:hint="eastAsia" w:ascii="宋体" w:hAnsi="宋体" w:eastAsia="宋体" w:cs="宋体"/>
              </w:rPr>
              <w:t>提供的</w:t>
            </w:r>
            <w:r>
              <w:rPr>
                <w:rFonts w:hint="eastAsia" w:ascii="宋体" w:hAnsi="宋体" w:eastAsia="宋体" w:cs="宋体"/>
                <w:lang w:val="en-US" w:eastAsia="zh-CN"/>
              </w:rPr>
              <w:t>其他</w:t>
            </w:r>
            <w:r>
              <w:rPr>
                <w:rFonts w:hint="eastAsia" w:ascii="宋体" w:hAnsi="宋体" w:eastAsia="宋体" w:cs="宋体"/>
              </w:rPr>
              <w:t>服务方案（包括但不限于培训方案、保密方案、异常或异议报告处理机制等）进行评审：</w:t>
            </w:r>
          </w:p>
          <w:p w14:paraId="6FFD1825">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rPr>
            </w:pPr>
            <w:r>
              <w:rPr>
                <w:rFonts w:hint="eastAsia" w:ascii="宋体" w:hAnsi="宋体" w:eastAsia="宋体" w:cs="宋体"/>
                <w:kern w:val="2"/>
                <w:sz w:val="21"/>
                <w:lang w:val="en-US" w:eastAsia="zh-CN" w:bidi="ar-SA"/>
              </w:rPr>
              <w:t>1.</w:t>
            </w:r>
            <w:r>
              <w:rPr>
                <w:rFonts w:hint="eastAsia" w:ascii="宋体" w:hAnsi="宋体" w:eastAsia="宋体" w:cs="宋体"/>
              </w:rPr>
              <w:t>售后服务方案内容全面，有详细具体的培训方案、保密方案，异常或异议报告处理机制条理清晰，处理问题能力强，流程完整、可行，完全满足项目需求的，得</w:t>
            </w:r>
            <w:r>
              <w:rPr>
                <w:rFonts w:hint="eastAsia" w:ascii="宋体" w:hAnsi="宋体" w:cs="宋体"/>
                <w:lang w:val="en-US" w:eastAsia="zh-CN"/>
              </w:rPr>
              <w:t>7</w:t>
            </w:r>
            <w:r>
              <w:rPr>
                <w:rFonts w:hint="eastAsia" w:ascii="宋体" w:hAnsi="宋体" w:eastAsia="宋体" w:cs="宋体"/>
              </w:rPr>
              <w:t>分；</w:t>
            </w:r>
          </w:p>
          <w:p w14:paraId="7A81B4E8">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rPr>
            </w:pPr>
            <w:r>
              <w:rPr>
                <w:rFonts w:hint="eastAsia" w:ascii="宋体" w:hAnsi="宋体" w:eastAsia="宋体" w:cs="宋体"/>
              </w:rPr>
              <w:t>2.售后服务方案内容一般，有基本可行的培训方案、保密方案，异常或异议报告处理机制基本条理清晰，处理问题能力尚可，流程较完整、可行，基本满足项目需求的，得</w:t>
            </w:r>
            <w:r>
              <w:rPr>
                <w:rFonts w:hint="eastAsia" w:ascii="宋体" w:hAnsi="宋体" w:cs="宋体"/>
                <w:lang w:val="en-US" w:eastAsia="zh-CN"/>
              </w:rPr>
              <w:t>4</w:t>
            </w:r>
            <w:r>
              <w:rPr>
                <w:rFonts w:hint="eastAsia" w:ascii="宋体" w:hAnsi="宋体" w:eastAsia="宋体" w:cs="宋体"/>
              </w:rPr>
              <w:t>分；</w:t>
            </w:r>
          </w:p>
          <w:p w14:paraId="54D8E428">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rPr>
            </w:pPr>
            <w:r>
              <w:rPr>
                <w:rFonts w:hint="eastAsia" w:ascii="宋体" w:hAnsi="宋体" w:eastAsia="宋体" w:cs="宋体"/>
              </w:rPr>
              <w:t>3.售后服务方案内容简略，培训方案、保密方案、不</w:t>
            </w:r>
            <w:r>
              <w:rPr>
                <w:rFonts w:hint="eastAsia" w:ascii="宋体" w:hAnsi="宋体" w:cs="宋体"/>
                <w:lang w:val="en-US" w:eastAsia="zh-CN"/>
              </w:rPr>
              <w:t>够</w:t>
            </w:r>
            <w:r>
              <w:rPr>
                <w:rFonts w:hint="eastAsia" w:ascii="宋体" w:hAnsi="宋体" w:eastAsia="宋体" w:cs="宋体"/>
              </w:rPr>
              <w:t>可行，异常或异议报告处理机制条理不清，处理问题能力较差，流程不够完整、可行，不能满足项目需求的，得</w:t>
            </w:r>
            <w:r>
              <w:rPr>
                <w:rFonts w:hint="eastAsia" w:ascii="宋体" w:hAnsi="宋体" w:cs="宋体"/>
                <w:lang w:val="en-US" w:eastAsia="zh-CN"/>
              </w:rPr>
              <w:t>1</w:t>
            </w:r>
            <w:r>
              <w:rPr>
                <w:rFonts w:hint="eastAsia" w:ascii="宋体" w:hAnsi="宋体" w:eastAsia="宋体" w:cs="宋体"/>
              </w:rPr>
              <w:t>分；</w:t>
            </w:r>
          </w:p>
          <w:p w14:paraId="6BC6E50D">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rPr>
              <w:t>4.未提供相关方案的，</w:t>
            </w:r>
            <w:r>
              <w:rPr>
                <w:rFonts w:hint="eastAsia" w:ascii="宋体" w:hAnsi="宋体" w:eastAsia="宋体" w:cs="宋体"/>
                <w:lang w:val="en-US" w:eastAsia="zh-CN"/>
              </w:rPr>
              <w:t>不得分</w:t>
            </w:r>
            <w:r>
              <w:rPr>
                <w:rFonts w:hint="eastAsia" w:ascii="宋体" w:hAnsi="宋体" w:eastAsia="宋体" w:cs="宋体"/>
              </w:rPr>
              <w:t>。</w:t>
            </w:r>
          </w:p>
        </w:tc>
      </w:tr>
      <w:tr w14:paraId="3EEAB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6" w:hRule="atLeast"/>
          <w:jc w:val="center"/>
        </w:trPr>
        <w:tc>
          <w:tcPr>
            <w:tcW w:w="752" w:type="dxa"/>
            <w:vMerge w:val="continue"/>
            <w:vAlign w:val="center"/>
          </w:tcPr>
          <w:p w14:paraId="6625FBA9">
            <w:pPr>
              <w:pStyle w:val="231"/>
              <w:keepNext w:val="0"/>
              <w:keepLines w:val="0"/>
              <w:pageBreakBefore w:val="0"/>
              <w:kinsoku/>
              <w:wordWrap/>
              <w:overflowPunct/>
              <w:topLinePunct w:val="0"/>
              <w:autoSpaceDE/>
              <w:autoSpaceDN/>
              <w:bidi w:val="0"/>
              <w:adjustRightInd/>
              <w:spacing w:line="324" w:lineRule="auto"/>
              <w:jc w:val="center"/>
              <w:textAlignment w:val="auto"/>
              <w:rPr>
                <w:sz w:val="21"/>
                <w:szCs w:val="21"/>
                <w:highlight w:val="none"/>
              </w:rPr>
            </w:pPr>
          </w:p>
        </w:tc>
        <w:tc>
          <w:tcPr>
            <w:tcW w:w="2232" w:type="dxa"/>
            <w:vAlign w:val="center"/>
          </w:tcPr>
          <w:p w14:paraId="2778EEDB">
            <w:pPr>
              <w:keepNext w:val="0"/>
              <w:keepLines w:val="0"/>
              <w:pageBreakBefore w:val="0"/>
              <w:kinsoku/>
              <w:wordWrap/>
              <w:overflowPunct/>
              <w:topLinePunct w:val="0"/>
              <w:autoSpaceDE/>
              <w:autoSpaceDN/>
              <w:bidi w:val="0"/>
              <w:adjustRightInd/>
              <w:snapToGrid w:val="0"/>
              <w:spacing w:line="324" w:lineRule="auto"/>
              <w:jc w:val="center"/>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检测</w:t>
            </w:r>
            <w:r>
              <w:rPr>
                <w:rFonts w:hint="eastAsia" w:ascii="宋体" w:hAnsi="宋体" w:eastAsia="宋体" w:cs="宋体"/>
                <w:b w:val="0"/>
                <w:bCs w:val="0"/>
                <w:sz w:val="21"/>
                <w:szCs w:val="21"/>
                <w:lang w:val="en-US" w:eastAsia="zh-CN"/>
              </w:rPr>
              <w:t>设备</w:t>
            </w:r>
          </w:p>
          <w:p w14:paraId="029922C4">
            <w:pPr>
              <w:keepNext w:val="0"/>
              <w:keepLines w:val="0"/>
              <w:pageBreakBefore w:val="0"/>
              <w:kinsoku/>
              <w:wordWrap/>
              <w:overflowPunct/>
              <w:topLinePunct w:val="0"/>
              <w:autoSpaceDE/>
              <w:autoSpaceDN/>
              <w:bidi w:val="0"/>
              <w:adjustRightInd/>
              <w:snapToGrid w:val="0"/>
              <w:spacing w:line="324"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8</w:t>
            </w:r>
            <w:r>
              <w:rPr>
                <w:rFonts w:hint="eastAsia" w:ascii="宋体" w:hAnsi="宋体" w:eastAsia="宋体" w:cs="宋体"/>
                <w:b w:val="0"/>
                <w:bCs w:val="0"/>
                <w:sz w:val="21"/>
                <w:szCs w:val="21"/>
                <w:lang w:val="en-US" w:eastAsia="zh-CN"/>
              </w:rPr>
              <w:t>.0分)</w:t>
            </w:r>
          </w:p>
        </w:tc>
        <w:tc>
          <w:tcPr>
            <w:tcW w:w="6338" w:type="dxa"/>
            <w:vAlign w:val="center"/>
          </w:tcPr>
          <w:p w14:paraId="40A5CC97">
            <w:pPr>
              <w:numPr>
                <w:ilvl w:val="0"/>
                <w:numId w:val="0"/>
              </w:numPr>
              <w:spacing w:beforeLines="-2147483648" w:afterLines="-2147483648" w:line="324" w:lineRule="auto"/>
              <w:jc w:val="left"/>
              <w:rPr>
                <w:rFonts w:hint="eastAsia" w:ascii="宋体" w:hAnsi="宋体" w:eastAsia="宋体" w:cs="宋体"/>
                <w:sz w:val="21"/>
                <w:lang w:val="en-US"/>
              </w:rPr>
            </w:pPr>
            <w:r>
              <w:rPr>
                <w:rFonts w:hint="eastAsia" w:ascii="宋体" w:hAnsi="宋体" w:eastAsia="宋体" w:cs="宋体"/>
                <w:sz w:val="21"/>
                <w:lang w:val="en-US"/>
              </w:rPr>
              <w:t>根据供应商拟投入本项目检测平台设备(</w:t>
            </w:r>
            <w:r>
              <w:rPr>
                <w:rFonts w:hint="eastAsia" w:ascii="宋体" w:hAnsi="宋体" w:eastAsia="宋体" w:cs="宋体"/>
                <w:sz w:val="21"/>
                <w:lang w:val="en-US" w:eastAsia="zh-CN"/>
              </w:rPr>
              <w:t>提供的</w:t>
            </w:r>
            <w:r>
              <w:rPr>
                <w:rFonts w:hint="eastAsia" w:ascii="宋体" w:hAnsi="宋体" w:eastAsia="宋体" w:cs="宋体"/>
                <w:sz w:val="21"/>
                <w:lang w:val="en-US"/>
              </w:rPr>
              <w:t>设备检测平台应</w:t>
            </w:r>
            <w:r>
              <w:rPr>
                <w:rFonts w:hint="eastAsia" w:ascii="宋体" w:hAnsi="宋体" w:eastAsia="宋体" w:cs="宋体"/>
                <w:sz w:val="21"/>
                <w:lang w:val="en-US" w:eastAsia="zh-CN"/>
              </w:rPr>
              <w:t>涵盖</w:t>
            </w:r>
            <w:r>
              <w:rPr>
                <w:rFonts w:hint="eastAsia" w:ascii="宋体" w:hAnsi="宋体" w:eastAsia="宋体" w:cs="宋体"/>
                <w:sz w:val="21"/>
                <w:lang w:val="en-US"/>
              </w:rPr>
              <w:t>临检、免疫、生化、分子、微生物)进行评审：</w:t>
            </w:r>
          </w:p>
          <w:p w14:paraId="4476D3B7">
            <w:pPr>
              <w:numPr>
                <w:ilvl w:val="0"/>
                <w:numId w:val="0"/>
              </w:numPr>
              <w:spacing w:beforeLines="-2147483648" w:afterLines="-2147483648" w:line="324" w:lineRule="auto"/>
              <w:jc w:val="left"/>
              <w:rPr>
                <w:rFonts w:hint="eastAsia" w:ascii="宋体" w:hAnsi="宋体" w:eastAsia="宋体" w:cs="宋体"/>
                <w:sz w:val="21"/>
                <w:lang w:val="en-US"/>
              </w:rPr>
            </w:pPr>
            <w:r>
              <w:rPr>
                <w:rFonts w:hint="eastAsia" w:ascii="宋体" w:hAnsi="宋体" w:eastAsia="宋体" w:cs="宋体"/>
                <w:sz w:val="21"/>
                <w:lang w:val="en-US"/>
              </w:rPr>
              <w:t>1.提供检测平台设备≥1</w:t>
            </w:r>
            <w:r>
              <w:rPr>
                <w:rFonts w:hint="eastAsia" w:ascii="宋体" w:hAnsi="宋体" w:eastAsia="宋体" w:cs="宋体"/>
                <w:sz w:val="21"/>
                <w:lang w:val="en-US" w:eastAsia="zh-CN"/>
              </w:rPr>
              <w:t>5</w:t>
            </w:r>
            <w:r>
              <w:rPr>
                <w:rFonts w:hint="eastAsia" w:ascii="宋体" w:hAnsi="宋体" w:eastAsia="宋体" w:cs="宋体"/>
                <w:sz w:val="21"/>
                <w:lang w:val="en-US"/>
              </w:rPr>
              <w:t>种，得</w:t>
            </w:r>
            <w:r>
              <w:rPr>
                <w:rFonts w:hint="eastAsia" w:ascii="宋体" w:hAnsi="宋体" w:eastAsia="宋体" w:cs="宋体"/>
                <w:sz w:val="21"/>
                <w:lang w:val="en-US" w:eastAsia="zh-CN"/>
              </w:rPr>
              <w:t>8</w:t>
            </w:r>
            <w:r>
              <w:rPr>
                <w:rFonts w:hint="eastAsia" w:ascii="宋体" w:hAnsi="宋体" w:eastAsia="宋体" w:cs="宋体"/>
                <w:sz w:val="21"/>
                <w:lang w:val="en-US"/>
              </w:rPr>
              <w:t>分；</w:t>
            </w:r>
          </w:p>
          <w:p w14:paraId="3DFE7A24">
            <w:pPr>
              <w:numPr>
                <w:ilvl w:val="0"/>
                <w:numId w:val="0"/>
              </w:numPr>
              <w:spacing w:beforeLines="-2147483648" w:afterLines="-2147483648" w:line="324" w:lineRule="auto"/>
              <w:jc w:val="left"/>
              <w:rPr>
                <w:rFonts w:hint="eastAsia" w:ascii="宋体" w:hAnsi="宋体" w:eastAsia="宋体" w:cs="宋体"/>
                <w:sz w:val="21"/>
                <w:lang w:val="en-US"/>
              </w:rPr>
            </w:pPr>
            <w:r>
              <w:rPr>
                <w:rFonts w:hint="eastAsia" w:ascii="宋体" w:hAnsi="宋体" w:eastAsia="宋体" w:cs="宋体"/>
                <w:sz w:val="21"/>
                <w:lang w:val="en-US"/>
              </w:rPr>
              <w:t>2.提供9-</w:t>
            </w:r>
            <w:r>
              <w:rPr>
                <w:rFonts w:hint="eastAsia" w:ascii="宋体" w:hAnsi="宋体" w:eastAsia="宋体" w:cs="宋体"/>
                <w:sz w:val="21"/>
                <w:lang w:val="en-US" w:eastAsia="zh-CN"/>
              </w:rPr>
              <w:t>14</w:t>
            </w:r>
            <w:r>
              <w:rPr>
                <w:rFonts w:hint="eastAsia" w:ascii="宋体" w:hAnsi="宋体" w:eastAsia="宋体" w:cs="宋体"/>
                <w:sz w:val="21"/>
                <w:lang w:val="en-US"/>
              </w:rPr>
              <w:t>种检测平台设备，得</w:t>
            </w:r>
            <w:r>
              <w:rPr>
                <w:rFonts w:hint="eastAsia" w:ascii="宋体" w:hAnsi="宋体" w:eastAsia="宋体" w:cs="宋体"/>
                <w:sz w:val="21"/>
                <w:lang w:val="en-US" w:eastAsia="zh-CN"/>
              </w:rPr>
              <w:t>5</w:t>
            </w:r>
            <w:r>
              <w:rPr>
                <w:rFonts w:hint="eastAsia" w:ascii="宋体" w:hAnsi="宋体" w:eastAsia="宋体" w:cs="宋体"/>
                <w:sz w:val="21"/>
                <w:lang w:val="en-US"/>
              </w:rPr>
              <w:t>分；</w:t>
            </w:r>
          </w:p>
          <w:p w14:paraId="3C8ACBC4">
            <w:pPr>
              <w:numPr>
                <w:ilvl w:val="0"/>
                <w:numId w:val="0"/>
              </w:numPr>
              <w:spacing w:beforeLines="-2147483648" w:afterLines="-2147483648" w:line="324" w:lineRule="auto"/>
              <w:jc w:val="left"/>
              <w:rPr>
                <w:rFonts w:hint="eastAsia" w:ascii="宋体" w:hAnsi="宋体" w:eastAsia="宋体" w:cs="宋体"/>
                <w:sz w:val="21"/>
                <w:lang w:val="en-US"/>
              </w:rPr>
            </w:pPr>
            <w:r>
              <w:rPr>
                <w:rFonts w:hint="eastAsia" w:ascii="宋体" w:hAnsi="宋体" w:eastAsia="宋体" w:cs="宋体"/>
                <w:sz w:val="21"/>
                <w:lang w:val="en-US"/>
              </w:rPr>
              <w:t>3.提供5-</w:t>
            </w:r>
            <w:r>
              <w:rPr>
                <w:rFonts w:hint="eastAsia" w:ascii="宋体" w:hAnsi="宋体" w:eastAsia="宋体" w:cs="宋体"/>
                <w:sz w:val="21"/>
                <w:lang w:val="en-US" w:eastAsia="zh-CN"/>
              </w:rPr>
              <w:t>8</w:t>
            </w:r>
            <w:r>
              <w:rPr>
                <w:rFonts w:hint="eastAsia" w:ascii="宋体" w:hAnsi="宋体" w:eastAsia="宋体" w:cs="宋体"/>
                <w:sz w:val="21"/>
                <w:lang w:val="en-US"/>
              </w:rPr>
              <w:t>种检测平台设备，得</w:t>
            </w:r>
            <w:r>
              <w:rPr>
                <w:rFonts w:hint="eastAsia" w:ascii="宋体" w:hAnsi="宋体" w:eastAsia="宋体" w:cs="宋体"/>
                <w:sz w:val="21"/>
                <w:lang w:val="en-US" w:eastAsia="zh-CN"/>
              </w:rPr>
              <w:t>2</w:t>
            </w:r>
            <w:r>
              <w:rPr>
                <w:rFonts w:hint="eastAsia" w:ascii="宋体" w:hAnsi="宋体" w:eastAsia="宋体" w:cs="宋体"/>
                <w:sz w:val="21"/>
                <w:lang w:val="en-US"/>
              </w:rPr>
              <w:t>分。</w:t>
            </w:r>
          </w:p>
          <w:p w14:paraId="644C625A">
            <w:pPr>
              <w:numPr>
                <w:ilvl w:val="0"/>
                <w:numId w:val="0"/>
              </w:numPr>
              <w:spacing w:beforeLines="-2147483648" w:afterLines="-2147483648" w:line="324" w:lineRule="auto"/>
              <w:jc w:val="left"/>
              <w:rPr>
                <w:rFonts w:hint="default" w:ascii="宋体" w:hAnsi="宋体" w:eastAsia="宋体" w:cs="宋体"/>
                <w:sz w:val="21"/>
                <w:lang w:val="en-US" w:eastAsia="zh-CN"/>
              </w:rPr>
            </w:pPr>
            <w:r>
              <w:rPr>
                <w:rFonts w:hint="eastAsia" w:ascii="宋体" w:hAnsi="宋体" w:eastAsia="宋体" w:cs="宋体"/>
                <w:sz w:val="21"/>
                <w:lang w:val="en-US" w:eastAsia="zh-CN"/>
              </w:rPr>
              <w:t>4.提供少于5种不得分。</w:t>
            </w:r>
          </w:p>
          <w:p w14:paraId="28CD9AB5">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rPr>
            </w:pPr>
            <w:r>
              <w:rPr>
                <w:rFonts w:hint="eastAsia" w:ascii="宋体" w:hAnsi="宋体" w:eastAsia="宋体" w:cs="宋体"/>
                <w:sz w:val="21"/>
                <w:lang w:val="en-US"/>
              </w:rPr>
              <w:t>【注：需提供以上检测平台设备列表、实物图片及购置发票（或租赁合同）复印件并加盖供应商公章，不提供或材料不齐全的不得分。】</w:t>
            </w:r>
          </w:p>
        </w:tc>
      </w:tr>
      <w:tr w14:paraId="11999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6" w:hRule="atLeast"/>
          <w:jc w:val="center"/>
        </w:trPr>
        <w:tc>
          <w:tcPr>
            <w:tcW w:w="752" w:type="dxa"/>
            <w:vMerge w:val="restart"/>
            <w:vAlign w:val="center"/>
          </w:tcPr>
          <w:p w14:paraId="45440728">
            <w:pPr>
              <w:pStyle w:val="231"/>
              <w:keepNext w:val="0"/>
              <w:keepLines w:val="0"/>
              <w:pageBreakBefore w:val="0"/>
              <w:kinsoku/>
              <w:wordWrap/>
              <w:overflowPunct/>
              <w:topLinePunct w:val="0"/>
              <w:autoSpaceDE/>
              <w:autoSpaceDN/>
              <w:bidi w:val="0"/>
              <w:adjustRightInd/>
              <w:spacing w:line="324" w:lineRule="auto"/>
              <w:jc w:val="center"/>
              <w:textAlignment w:val="auto"/>
              <w:rPr>
                <w:sz w:val="21"/>
                <w:szCs w:val="21"/>
                <w:highlight w:val="none"/>
              </w:rPr>
            </w:pPr>
            <w:r>
              <w:rPr>
                <w:sz w:val="21"/>
                <w:szCs w:val="21"/>
                <w:highlight w:val="none"/>
              </w:rPr>
              <w:t>商务部分</w:t>
            </w:r>
          </w:p>
        </w:tc>
        <w:tc>
          <w:tcPr>
            <w:tcW w:w="2232" w:type="dxa"/>
            <w:vAlign w:val="center"/>
          </w:tcPr>
          <w:p w14:paraId="2682165A">
            <w:pPr>
              <w:keepNext w:val="0"/>
              <w:keepLines w:val="0"/>
              <w:pageBreakBefore w:val="0"/>
              <w:kinsoku/>
              <w:wordWrap/>
              <w:overflowPunct/>
              <w:topLinePunct w:val="0"/>
              <w:autoSpaceDE/>
              <w:autoSpaceDN/>
              <w:bidi w:val="0"/>
              <w:adjustRightInd/>
              <w:snapToGrid w:val="0"/>
              <w:spacing w:line="324" w:lineRule="auto"/>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商务要求响应情况</w:t>
            </w:r>
          </w:p>
          <w:p w14:paraId="490028FC">
            <w:pPr>
              <w:keepNext w:val="0"/>
              <w:keepLines w:val="0"/>
              <w:pageBreakBefore w:val="0"/>
              <w:kinsoku/>
              <w:wordWrap/>
              <w:overflowPunct/>
              <w:topLinePunct w:val="0"/>
              <w:autoSpaceDE/>
              <w:autoSpaceDN/>
              <w:bidi w:val="0"/>
              <w:adjustRightInd/>
              <w:snapToGrid w:val="0"/>
              <w:spacing w:line="324" w:lineRule="auto"/>
              <w:jc w:val="center"/>
              <w:textAlignment w:val="auto"/>
              <w:rPr>
                <w:rFonts w:hint="eastAsia" w:ascii="宋体" w:hAnsi="宋体" w:eastAsia="宋体" w:cs="宋体"/>
                <w:color w:val="auto"/>
                <w:lang w:val="en-US" w:eastAsia="zh-CN"/>
              </w:rPr>
            </w:pPr>
            <w:r>
              <w:rPr>
                <w:rFonts w:hint="eastAsia" w:ascii="宋体" w:hAnsi="宋体" w:cs="宋体"/>
                <w:color w:val="auto"/>
                <w:lang w:val="en-US" w:eastAsia="zh-CN"/>
              </w:rPr>
              <w:t>（4分）</w:t>
            </w:r>
          </w:p>
        </w:tc>
        <w:tc>
          <w:tcPr>
            <w:tcW w:w="6338" w:type="dxa"/>
            <w:vAlign w:val="center"/>
          </w:tcPr>
          <w:p w14:paraId="4F7F23B2">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default" w:ascii="宋体" w:hAnsi="宋体" w:eastAsia="宋体" w:cs="宋体"/>
                <w:color w:val="auto"/>
                <w:lang w:val="en-US"/>
              </w:rPr>
            </w:pPr>
            <w:r>
              <w:rPr>
                <w:rFonts w:hint="eastAsia" w:ascii="宋体" w:hAnsi="宋体" w:eastAsia="宋体" w:cs="宋体"/>
                <w:color w:val="auto"/>
                <w:lang w:eastAsia="zh-CN"/>
              </w:rPr>
              <w:t>根据</w:t>
            </w:r>
            <w:r>
              <w:rPr>
                <w:rFonts w:hint="eastAsia" w:ascii="宋体" w:hAnsi="宋体" w:eastAsia="宋体" w:cs="宋体"/>
                <w:color w:val="auto"/>
                <w:lang w:val="en-US" w:eastAsia="zh-CN"/>
              </w:rPr>
              <w:t>供应商</w:t>
            </w:r>
            <w:r>
              <w:rPr>
                <w:rFonts w:hint="eastAsia" w:ascii="宋体" w:hAnsi="宋体" w:eastAsia="宋体" w:cs="宋体"/>
                <w:color w:val="auto"/>
                <w:lang w:eastAsia="zh-CN"/>
              </w:rPr>
              <w:t>对采购需求中“</w:t>
            </w:r>
            <w:r>
              <w:rPr>
                <w:rFonts w:hint="eastAsia" w:ascii="宋体" w:hAnsi="宋体" w:eastAsia="宋体" w:cs="宋体"/>
                <w:b/>
                <w:color w:val="auto"/>
                <w:kern w:val="2"/>
                <w:sz w:val="21"/>
                <w:szCs w:val="21"/>
                <w:highlight w:val="none"/>
                <w:lang w:eastAsia="zh-CN"/>
              </w:rPr>
              <w:t>三、</w:t>
            </w:r>
            <w:r>
              <w:rPr>
                <w:rFonts w:hint="eastAsia" w:ascii="宋体" w:hAnsi="宋体" w:eastAsia="宋体" w:cs="宋体"/>
                <w:b/>
                <w:color w:val="auto"/>
                <w:kern w:val="2"/>
                <w:sz w:val="21"/>
                <w:szCs w:val="21"/>
                <w:highlight w:val="none"/>
              </w:rPr>
              <w:t>商务要求</w:t>
            </w:r>
            <w:r>
              <w:rPr>
                <w:rFonts w:hint="eastAsia" w:ascii="宋体" w:hAnsi="宋体" w:eastAsia="宋体" w:cs="宋体"/>
                <w:color w:val="auto"/>
                <w:lang w:eastAsia="zh-CN"/>
              </w:rPr>
              <w:t>”的响应情况进行评审：</w:t>
            </w:r>
            <w:r>
              <w:rPr>
                <w:rFonts w:hint="eastAsia" w:ascii="宋体" w:hAnsi="宋体" w:eastAsia="宋体" w:cs="宋体"/>
                <w:color w:val="auto"/>
                <w:lang w:val="en-US" w:eastAsia="zh-CN"/>
              </w:rPr>
              <w:t>每响应或优于满足（一）项的得1分，最高得4分。</w:t>
            </w:r>
            <w:r>
              <w:rPr>
                <w:rFonts w:hint="eastAsia" w:cs="Times New Roman"/>
                <w:color w:val="auto"/>
                <w:lang w:val="en-US" w:eastAsia="zh-CN"/>
              </w:rPr>
              <w:t>【注：</w:t>
            </w:r>
            <w:r>
              <w:rPr>
                <w:rFonts w:hint="eastAsia" w:ascii="宋体" w:hAnsi="宋体" w:cs="宋体"/>
                <w:color w:val="auto"/>
                <w:sz w:val="21"/>
                <w:szCs w:val="21"/>
                <w:lang w:val="en-US" w:eastAsia="zh-CN"/>
              </w:rPr>
              <w:t>以供应商提供的《</w:t>
            </w:r>
            <w:r>
              <w:rPr>
                <w:rFonts w:hint="eastAsia" w:cs="Times New Roman"/>
                <w:color w:val="auto"/>
                <w:lang w:val="en-US" w:eastAsia="zh-CN"/>
              </w:rPr>
              <w:t>商务要求响应表</w:t>
            </w:r>
            <w:r>
              <w:rPr>
                <w:rFonts w:hint="eastAsia" w:ascii="宋体" w:hAnsi="宋体" w:cs="宋体"/>
                <w:color w:val="auto"/>
                <w:sz w:val="21"/>
                <w:szCs w:val="21"/>
                <w:lang w:val="en-US" w:eastAsia="zh-CN"/>
              </w:rPr>
              <w:t>》为准。</w:t>
            </w:r>
            <w:r>
              <w:rPr>
                <w:rFonts w:hint="eastAsia" w:cs="Times New Roman"/>
                <w:color w:val="auto"/>
                <w:lang w:val="en-US" w:eastAsia="zh-CN"/>
              </w:rPr>
              <w:t>】</w:t>
            </w:r>
          </w:p>
        </w:tc>
      </w:tr>
      <w:tr w14:paraId="73893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6" w:hRule="atLeast"/>
          <w:jc w:val="center"/>
        </w:trPr>
        <w:tc>
          <w:tcPr>
            <w:tcW w:w="752" w:type="dxa"/>
            <w:vMerge w:val="continue"/>
            <w:vAlign w:val="center"/>
          </w:tcPr>
          <w:p w14:paraId="7DB6D878">
            <w:pPr>
              <w:pStyle w:val="231"/>
              <w:keepNext w:val="0"/>
              <w:keepLines w:val="0"/>
              <w:pageBreakBefore w:val="0"/>
              <w:kinsoku/>
              <w:wordWrap/>
              <w:overflowPunct/>
              <w:topLinePunct w:val="0"/>
              <w:autoSpaceDE/>
              <w:autoSpaceDN/>
              <w:bidi w:val="0"/>
              <w:adjustRightInd/>
              <w:spacing w:line="324" w:lineRule="auto"/>
              <w:jc w:val="center"/>
              <w:textAlignment w:val="auto"/>
              <w:rPr>
                <w:sz w:val="21"/>
                <w:szCs w:val="21"/>
                <w:highlight w:val="none"/>
              </w:rPr>
            </w:pPr>
          </w:p>
        </w:tc>
        <w:tc>
          <w:tcPr>
            <w:tcW w:w="2232" w:type="dxa"/>
            <w:vAlign w:val="center"/>
          </w:tcPr>
          <w:p w14:paraId="5C7D4092">
            <w:pPr>
              <w:keepNext w:val="0"/>
              <w:keepLines w:val="0"/>
              <w:pageBreakBefore w:val="0"/>
              <w:kinsoku/>
              <w:wordWrap/>
              <w:overflowPunct/>
              <w:topLinePunct w:val="0"/>
              <w:autoSpaceDE/>
              <w:autoSpaceDN/>
              <w:bidi w:val="0"/>
              <w:adjustRightInd/>
              <w:snapToGrid w:val="0"/>
              <w:spacing w:line="324" w:lineRule="auto"/>
              <w:jc w:val="center"/>
              <w:textAlignment w:val="auto"/>
              <w:rPr>
                <w:rFonts w:hint="eastAsia" w:ascii="宋体" w:hAnsi="宋体" w:eastAsia="宋体" w:cs="宋体"/>
                <w:sz w:val="21"/>
                <w:szCs w:val="21"/>
                <w:highlight w:val="none"/>
              </w:rPr>
            </w:pPr>
            <w:r>
              <w:rPr>
                <w:rFonts w:hint="eastAsia" w:ascii="宋体" w:hAnsi="宋体" w:eastAsia="宋体" w:cs="宋体"/>
                <w:b w:val="0"/>
                <w:bCs w:val="0"/>
                <w:sz w:val="21"/>
                <w:szCs w:val="21"/>
                <w:lang w:val="en-US" w:eastAsia="zh-CN"/>
              </w:rPr>
              <w:t>服务团队能力（</w:t>
            </w:r>
            <w:r>
              <w:rPr>
                <w:rFonts w:hint="eastAsia" w:ascii="宋体" w:hAnsi="宋体" w:cs="宋体"/>
                <w:b w:val="0"/>
                <w:bCs w:val="0"/>
                <w:color w:val="auto"/>
                <w:sz w:val="21"/>
                <w:szCs w:val="21"/>
                <w:lang w:val="en-US" w:eastAsia="zh-CN"/>
              </w:rPr>
              <w:t>15</w:t>
            </w:r>
            <w:r>
              <w:rPr>
                <w:rFonts w:hint="eastAsia" w:ascii="宋体" w:hAnsi="宋体" w:eastAsia="宋体" w:cs="宋体"/>
                <w:b w:val="0"/>
                <w:bCs w:val="0"/>
                <w:sz w:val="21"/>
                <w:szCs w:val="21"/>
                <w:lang w:val="en-US" w:eastAsia="zh-CN"/>
              </w:rPr>
              <w:t>分）</w:t>
            </w:r>
          </w:p>
        </w:tc>
        <w:tc>
          <w:tcPr>
            <w:tcW w:w="6338" w:type="dxa"/>
            <w:vAlign w:val="center"/>
          </w:tcPr>
          <w:p w14:paraId="70DC1A88">
            <w:pPr>
              <w:pStyle w:val="13"/>
              <w:rPr>
                <w:rFonts w:hint="default"/>
                <w:color w:val="0000FF"/>
                <w:lang w:val="en-US" w:eastAsia="zh-CN"/>
              </w:rPr>
            </w:pPr>
            <w:r>
              <w:rPr>
                <w:rFonts w:hint="eastAsia" w:ascii="宋体" w:hAnsi="宋体" w:eastAsia="宋体" w:cs="宋体"/>
                <w:b w:val="0"/>
                <w:bCs w:val="0"/>
                <w:sz w:val="21"/>
                <w:szCs w:val="21"/>
              </w:rPr>
              <w:t>根据供应商拟投入本项目的服务人员情况进行评审</w:t>
            </w:r>
            <w:r>
              <w:rPr>
                <w:rFonts w:hint="eastAsia" w:ascii="宋体" w:hAnsi="宋体" w:eastAsia="宋体" w:cs="宋体"/>
                <w:b w:val="0"/>
                <w:bCs w:val="0"/>
                <w:sz w:val="21"/>
                <w:szCs w:val="21"/>
                <w:lang w:eastAsia="zh-CN"/>
              </w:rPr>
              <w:t>：</w:t>
            </w:r>
          </w:p>
          <w:p w14:paraId="228A96DF">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kern w:val="2"/>
                <w:sz w:val="21"/>
                <w:szCs w:val="21"/>
                <w:lang w:val="en-US" w:eastAsia="zh-CN" w:bidi="ar-SA"/>
              </w:rPr>
              <w:t>1.</w:t>
            </w:r>
            <w:r>
              <w:rPr>
                <w:rFonts w:hint="eastAsia" w:ascii="宋体" w:hAnsi="宋体" w:eastAsia="宋体" w:cs="宋体"/>
                <w:b w:val="0"/>
                <w:bCs w:val="0"/>
                <w:sz w:val="21"/>
                <w:szCs w:val="21"/>
              </w:rPr>
              <w:t>具有检验高级职称的，每</w:t>
            </w:r>
            <w:r>
              <w:rPr>
                <w:rFonts w:hint="eastAsia" w:ascii="宋体" w:hAnsi="宋体" w:eastAsia="宋体" w:cs="宋体"/>
                <w:b w:val="0"/>
                <w:bCs w:val="0"/>
                <w:sz w:val="21"/>
                <w:szCs w:val="21"/>
                <w:lang w:val="en-US" w:eastAsia="zh-CN"/>
              </w:rPr>
              <w:t>提供一人</w:t>
            </w:r>
            <w:r>
              <w:rPr>
                <w:rFonts w:hint="eastAsia" w:ascii="宋体" w:hAnsi="宋体" w:eastAsia="宋体" w:cs="宋体"/>
                <w:b w:val="0"/>
                <w:bCs w:val="0"/>
                <w:sz w:val="21"/>
                <w:szCs w:val="21"/>
              </w:rPr>
              <w:t>得</w:t>
            </w: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val="en-US" w:eastAsia="zh-CN"/>
              </w:rPr>
              <w:t>此小</w:t>
            </w:r>
            <w:r>
              <w:rPr>
                <w:rFonts w:hint="eastAsia" w:ascii="宋体" w:hAnsi="宋体" w:eastAsia="宋体" w:cs="宋体"/>
                <w:b w:val="0"/>
                <w:bCs w:val="0"/>
                <w:sz w:val="21"/>
                <w:szCs w:val="21"/>
              </w:rPr>
              <w:t>项最高得</w:t>
            </w:r>
            <w:r>
              <w:rPr>
                <w:rFonts w:hint="eastAsia" w:ascii="宋体" w:hAnsi="宋体" w:cs="宋体"/>
                <w:b w:val="0"/>
                <w:bCs w:val="0"/>
                <w:sz w:val="21"/>
                <w:szCs w:val="21"/>
                <w:lang w:val="en-US" w:eastAsia="zh-CN"/>
              </w:rPr>
              <w:t>8</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p>
          <w:p w14:paraId="028A4C09">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kern w:val="2"/>
                <w:sz w:val="21"/>
                <w:szCs w:val="21"/>
                <w:lang w:val="en-US" w:eastAsia="zh-CN" w:bidi="ar-SA"/>
              </w:rPr>
              <w:t>2.</w:t>
            </w:r>
            <w:r>
              <w:rPr>
                <w:rFonts w:hint="eastAsia" w:ascii="宋体" w:hAnsi="宋体" w:eastAsia="宋体" w:cs="宋体"/>
                <w:b w:val="0"/>
                <w:bCs w:val="0"/>
                <w:sz w:val="21"/>
                <w:szCs w:val="21"/>
              </w:rPr>
              <w:t>具有检验中级职称的，每</w:t>
            </w:r>
            <w:r>
              <w:rPr>
                <w:rFonts w:hint="eastAsia" w:ascii="宋体" w:hAnsi="宋体" w:eastAsia="宋体" w:cs="宋体"/>
                <w:b w:val="0"/>
                <w:bCs w:val="0"/>
                <w:sz w:val="21"/>
                <w:szCs w:val="21"/>
                <w:lang w:val="en-US" w:eastAsia="zh-CN"/>
              </w:rPr>
              <w:t>提供一</w:t>
            </w:r>
            <w:r>
              <w:rPr>
                <w:rFonts w:hint="eastAsia" w:ascii="宋体" w:hAnsi="宋体" w:eastAsia="宋体" w:cs="宋体"/>
                <w:b w:val="0"/>
                <w:bCs w:val="0"/>
                <w:sz w:val="21"/>
                <w:szCs w:val="21"/>
              </w:rPr>
              <w:t>人得2</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val="en-US" w:eastAsia="zh-CN"/>
              </w:rPr>
              <w:t>此小</w:t>
            </w:r>
            <w:r>
              <w:rPr>
                <w:rFonts w:hint="eastAsia" w:ascii="宋体" w:hAnsi="宋体" w:eastAsia="宋体" w:cs="宋体"/>
                <w:b w:val="0"/>
                <w:bCs w:val="0"/>
                <w:sz w:val="21"/>
                <w:szCs w:val="21"/>
              </w:rPr>
              <w:t>项最高得</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p>
          <w:p w14:paraId="775CC1E6">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3.具有检验初级职称的，每</w:t>
            </w:r>
            <w:r>
              <w:rPr>
                <w:rFonts w:hint="eastAsia" w:ascii="宋体" w:hAnsi="宋体" w:eastAsia="宋体" w:cs="宋体"/>
                <w:b w:val="0"/>
                <w:bCs w:val="0"/>
                <w:sz w:val="21"/>
                <w:szCs w:val="21"/>
                <w:lang w:val="en-US" w:eastAsia="zh-CN"/>
              </w:rPr>
              <w:t>提供一</w:t>
            </w:r>
            <w:r>
              <w:rPr>
                <w:rFonts w:hint="eastAsia" w:ascii="宋体" w:hAnsi="宋体" w:eastAsia="宋体" w:cs="宋体"/>
                <w:b w:val="0"/>
                <w:bCs w:val="0"/>
                <w:sz w:val="21"/>
                <w:szCs w:val="21"/>
              </w:rPr>
              <w:t>人得1分，</w:t>
            </w:r>
            <w:r>
              <w:rPr>
                <w:rFonts w:hint="eastAsia" w:ascii="宋体" w:hAnsi="宋体" w:eastAsia="宋体" w:cs="宋体"/>
                <w:b w:val="0"/>
                <w:bCs w:val="0"/>
                <w:sz w:val="21"/>
                <w:szCs w:val="21"/>
                <w:lang w:val="en-US" w:eastAsia="zh-CN"/>
              </w:rPr>
              <w:t>此小</w:t>
            </w:r>
            <w:r>
              <w:rPr>
                <w:rFonts w:hint="eastAsia" w:ascii="宋体" w:hAnsi="宋体" w:eastAsia="宋体" w:cs="宋体"/>
                <w:b w:val="0"/>
                <w:bCs w:val="0"/>
                <w:sz w:val="21"/>
                <w:szCs w:val="21"/>
              </w:rPr>
              <w:t>项最高得</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分。</w:t>
            </w:r>
          </w:p>
          <w:p w14:paraId="647DF378">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rPr>
            </w:pPr>
            <w:r>
              <w:rPr>
                <w:rFonts w:hint="eastAsia" w:ascii="宋体" w:hAnsi="宋体" w:eastAsia="宋体" w:cs="宋体"/>
                <w:b w:val="0"/>
                <w:bCs w:val="0"/>
                <w:sz w:val="21"/>
                <w:szCs w:val="21"/>
                <w:lang w:val="en-US" w:eastAsia="zh-CN"/>
              </w:rPr>
              <w:t>【注：（1）</w:t>
            </w:r>
            <w:r>
              <w:rPr>
                <w:rFonts w:hint="eastAsia" w:ascii="宋体" w:hAnsi="宋体" w:eastAsia="宋体" w:cs="宋体"/>
              </w:rPr>
              <w:t>提供以上人员相关证书复印件并加盖</w:t>
            </w:r>
            <w:r>
              <w:rPr>
                <w:rFonts w:hint="eastAsia" w:ascii="宋体" w:hAnsi="宋体" w:cs="宋体"/>
                <w:lang w:val="en-US" w:eastAsia="zh-CN"/>
              </w:rPr>
              <w:t>供应商</w:t>
            </w:r>
            <w:r>
              <w:rPr>
                <w:rFonts w:hint="eastAsia" w:ascii="宋体" w:hAnsi="宋体" w:eastAsia="宋体" w:cs="宋体"/>
              </w:rPr>
              <w:t xml:space="preserve">公章，不提供证书不得分，人员不得重复，同一人提供多个证书的，以最高等级证书计分； </w:t>
            </w:r>
          </w:p>
          <w:p w14:paraId="253A19FB">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ascii="宋体" w:hAnsi="宋体" w:eastAsia="宋体" w:cs="宋体"/>
              </w:rPr>
            </w:pPr>
            <w:r>
              <w:rPr>
                <w:rFonts w:hint="eastAsia" w:ascii="宋体" w:hAnsi="宋体" w:eastAsia="宋体" w:cs="宋体"/>
                <w:kern w:val="2"/>
                <w:sz w:val="21"/>
                <w:lang w:val="en-US" w:eastAsia="zh-CN" w:bidi="ar-SA"/>
              </w:rPr>
              <w:t>（2）</w:t>
            </w:r>
            <w:r>
              <w:rPr>
                <w:rFonts w:hint="eastAsia" w:ascii="宋体" w:hAnsi="宋体" w:eastAsia="宋体" w:cs="宋体"/>
              </w:rPr>
              <w:t>提供投标截止时间前</w:t>
            </w:r>
            <w:r>
              <w:rPr>
                <w:rFonts w:hint="eastAsia" w:ascii="宋体" w:hAnsi="宋体" w:cs="宋体"/>
                <w:lang w:val="en-US" w:eastAsia="zh-CN"/>
              </w:rPr>
              <w:t>3</w:t>
            </w:r>
            <w:r>
              <w:rPr>
                <w:rFonts w:hint="eastAsia" w:ascii="宋体" w:hAnsi="宋体" w:eastAsia="宋体" w:cs="宋体"/>
              </w:rPr>
              <w:t>个月内</w:t>
            </w:r>
            <w:r>
              <w:rPr>
                <w:rFonts w:hint="eastAsia" w:ascii="宋体" w:hAnsi="宋体" w:cs="宋体"/>
                <w:lang w:val="en-US" w:eastAsia="zh-CN"/>
              </w:rPr>
              <w:t>供应商</w:t>
            </w:r>
            <w:r>
              <w:rPr>
                <w:rFonts w:hint="eastAsia" w:ascii="宋体" w:hAnsi="宋体" w:eastAsia="宋体" w:cs="宋体"/>
              </w:rPr>
              <w:t>为其购买任意一个月的参保证明复印件并加盖公章。</w:t>
            </w:r>
          </w:p>
          <w:p w14:paraId="59B7CACC">
            <w:pPr>
              <w:keepNext w:val="0"/>
              <w:keepLines w:val="0"/>
              <w:pageBreakBefore w:val="0"/>
              <w:numPr>
                <w:ilvl w:val="0"/>
                <w:numId w:val="0"/>
              </w:numPr>
              <w:kinsoku/>
              <w:wordWrap/>
              <w:overflowPunct/>
              <w:topLinePunct w:val="0"/>
              <w:autoSpaceDE/>
              <w:autoSpaceDN/>
              <w:bidi w:val="0"/>
              <w:adjustRightInd/>
              <w:spacing w:line="324" w:lineRule="auto"/>
              <w:ind w:left="0" w:leftChars="0" w:firstLine="0" w:firstLineChars="0"/>
              <w:jc w:val="left"/>
              <w:textAlignment w:val="auto"/>
              <w:rPr>
                <w:rFonts w:hint="eastAsia" w:eastAsia="宋体"/>
                <w:sz w:val="21"/>
                <w:szCs w:val="21"/>
                <w:highlight w:val="none"/>
                <w:lang w:eastAsia="zh-CN"/>
              </w:rPr>
            </w:pPr>
            <w:r>
              <w:rPr>
                <w:rFonts w:hint="eastAsia" w:ascii="宋体" w:hAnsi="宋体" w:eastAsia="宋体" w:cs="宋体"/>
              </w:rPr>
              <w:t>（3）不提供或材料不齐全的不得分。</w:t>
            </w:r>
            <w:r>
              <w:rPr>
                <w:rFonts w:hint="eastAsia" w:ascii="宋体" w:hAnsi="宋体" w:eastAsia="宋体" w:cs="宋体"/>
                <w:b w:val="0"/>
                <w:bCs w:val="0"/>
                <w:sz w:val="21"/>
                <w:szCs w:val="21"/>
                <w:lang w:val="en-US" w:eastAsia="zh-CN"/>
              </w:rPr>
              <w:t>】</w:t>
            </w:r>
          </w:p>
        </w:tc>
      </w:tr>
      <w:tr w14:paraId="624BE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89" w:hRule="atLeast"/>
          <w:jc w:val="center"/>
        </w:trPr>
        <w:tc>
          <w:tcPr>
            <w:tcW w:w="752" w:type="dxa"/>
            <w:vMerge w:val="continue"/>
            <w:vAlign w:val="center"/>
          </w:tcPr>
          <w:p w14:paraId="448905FC">
            <w:pPr>
              <w:keepNext w:val="0"/>
              <w:keepLines w:val="0"/>
              <w:pageBreakBefore w:val="0"/>
              <w:kinsoku/>
              <w:wordWrap/>
              <w:overflowPunct/>
              <w:topLinePunct w:val="0"/>
              <w:autoSpaceDE/>
              <w:autoSpaceDN/>
              <w:bidi w:val="0"/>
              <w:adjustRightInd/>
              <w:spacing w:line="324" w:lineRule="auto"/>
              <w:jc w:val="center"/>
              <w:textAlignment w:val="auto"/>
              <w:rPr>
                <w:sz w:val="21"/>
                <w:szCs w:val="21"/>
                <w:highlight w:val="none"/>
              </w:rPr>
            </w:pPr>
          </w:p>
        </w:tc>
        <w:tc>
          <w:tcPr>
            <w:tcW w:w="2232" w:type="dxa"/>
            <w:shd w:val="clear" w:color="auto" w:fill="auto"/>
            <w:vAlign w:val="center"/>
          </w:tcPr>
          <w:p w14:paraId="5B378508">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同类项目</w:t>
            </w:r>
            <w:r>
              <w:rPr>
                <w:rFonts w:hint="eastAsia" w:ascii="宋体" w:hAnsi="宋体" w:cs="宋体"/>
                <w:sz w:val="21"/>
                <w:szCs w:val="21"/>
                <w:highlight w:val="none"/>
                <w:lang w:val="en-US" w:eastAsia="zh-CN"/>
              </w:rPr>
              <w:t>业绩</w:t>
            </w:r>
          </w:p>
          <w:p w14:paraId="65FC21C3">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sz w:val="21"/>
                <w:szCs w:val="21"/>
                <w:highlight w:val="none"/>
                <w:lang w:eastAsia="zh-CN"/>
              </w:rPr>
              <w:t>）</w:t>
            </w:r>
          </w:p>
        </w:tc>
        <w:tc>
          <w:tcPr>
            <w:tcW w:w="6338" w:type="dxa"/>
            <w:shd w:val="clear" w:color="auto" w:fill="auto"/>
            <w:vAlign w:val="center"/>
          </w:tcPr>
          <w:p w14:paraId="4C4437FA">
            <w:pPr>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提供2022年1月1日起至今(以合同签订时间为准)同类项目业绩，每提供一份得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分，最高得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14:paraId="525FDFE1">
            <w:pPr>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sz w:val="21"/>
                <w:szCs w:val="21"/>
                <w:highlight w:val="none"/>
              </w:rPr>
              <w:t>提供合同复印件</w:t>
            </w:r>
            <w:r>
              <w:rPr>
                <w:rFonts w:hint="eastAsia" w:ascii="宋体" w:hAnsi="宋体" w:cs="宋体"/>
                <w:sz w:val="21"/>
                <w:szCs w:val="21"/>
                <w:highlight w:val="none"/>
                <w:lang w:eastAsia="zh-CN"/>
              </w:rPr>
              <w:t>（</w:t>
            </w:r>
            <w:r>
              <w:rPr>
                <w:rFonts w:hint="eastAsia" w:ascii="宋体" w:hAnsi="宋体" w:cs="宋体"/>
                <w:b w:val="0"/>
                <w:bCs w:val="0"/>
                <w:color w:val="auto"/>
                <w:kern w:val="2"/>
                <w:sz w:val="21"/>
                <w:szCs w:val="21"/>
                <w:highlight w:val="none"/>
                <w:lang w:val="en-US" w:eastAsia="zh-CN" w:bidi="ar-SA"/>
              </w:rPr>
              <w:t>包含合同</w:t>
            </w:r>
            <w:r>
              <w:rPr>
                <w:rFonts w:hint="eastAsia" w:ascii="宋体" w:hAnsi="宋体" w:eastAsia="宋体" w:cs="宋体"/>
                <w:b w:val="0"/>
                <w:bCs w:val="0"/>
                <w:color w:val="auto"/>
                <w:kern w:val="2"/>
                <w:sz w:val="21"/>
                <w:szCs w:val="21"/>
                <w:highlight w:val="none"/>
                <w:lang w:val="en-US" w:eastAsia="zh-CN" w:bidi="ar-SA"/>
              </w:rPr>
              <w:t>内容、</w:t>
            </w:r>
            <w:r>
              <w:rPr>
                <w:rFonts w:hint="eastAsia" w:ascii="宋体" w:hAnsi="宋体" w:cs="宋体"/>
                <w:b w:val="0"/>
                <w:bCs w:val="0"/>
                <w:color w:val="auto"/>
                <w:kern w:val="2"/>
                <w:sz w:val="21"/>
                <w:szCs w:val="21"/>
                <w:highlight w:val="none"/>
                <w:lang w:val="en-US" w:eastAsia="zh-CN" w:bidi="ar-SA"/>
              </w:rPr>
              <w:t>签订</w:t>
            </w:r>
            <w:r>
              <w:rPr>
                <w:rFonts w:hint="eastAsia" w:ascii="宋体" w:hAnsi="宋体" w:eastAsia="宋体" w:cs="宋体"/>
                <w:b w:val="0"/>
                <w:bCs w:val="0"/>
                <w:color w:val="auto"/>
                <w:kern w:val="2"/>
                <w:sz w:val="21"/>
                <w:szCs w:val="21"/>
                <w:highlight w:val="none"/>
                <w:lang w:val="en-US" w:eastAsia="zh-CN" w:bidi="ar-SA"/>
              </w:rPr>
              <w:t>合同双方盖章及签订日期</w:t>
            </w:r>
            <w:r>
              <w:rPr>
                <w:rFonts w:hint="eastAsia" w:ascii="宋体" w:hAnsi="宋体" w:cs="宋体"/>
                <w:b w:val="0"/>
                <w:bCs w:val="0"/>
                <w:color w:val="auto"/>
                <w:kern w:val="2"/>
                <w:sz w:val="21"/>
                <w:szCs w:val="21"/>
                <w:highlight w:val="none"/>
                <w:lang w:val="en-US" w:eastAsia="zh-CN" w:bidi="ar-SA"/>
              </w:rPr>
              <w:t>的关键信息页</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未按要求提供不得分。</w:t>
            </w:r>
            <w:r>
              <w:rPr>
                <w:rFonts w:hint="eastAsia" w:ascii="宋体" w:hAnsi="宋体" w:cs="宋体"/>
                <w:color w:val="auto"/>
                <w:sz w:val="21"/>
                <w:szCs w:val="21"/>
                <w:highlight w:val="none"/>
                <w:lang w:val="en-US" w:eastAsia="zh-CN"/>
              </w:rPr>
              <w:t>】</w:t>
            </w:r>
          </w:p>
        </w:tc>
      </w:tr>
      <w:tr w14:paraId="2C959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1" w:hRule="atLeast"/>
          <w:jc w:val="center"/>
        </w:trPr>
        <w:tc>
          <w:tcPr>
            <w:tcW w:w="752" w:type="dxa"/>
            <w:vAlign w:val="center"/>
          </w:tcPr>
          <w:p w14:paraId="53C8C0A4">
            <w:pPr>
              <w:pStyle w:val="231"/>
              <w:keepNext w:val="0"/>
              <w:keepLines w:val="0"/>
              <w:pageBreakBefore w:val="0"/>
              <w:kinsoku/>
              <w:wordWrap/>
              <w:overflowPunct/>
              <w:topLinePunct w:val="0"/>
              <w:autoSpaceDE/>
              <w:autoSpaceDN/>
              <w:bidi w:val="0"/>
              <w:adjustRightInd/>
              <w:spacing w:line="324"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价格部分</w:t>
            </w:r>
          </w:p>
        </w:tc>
        <w:tc>
          <w:tcPr>
            <w:tcW w:w="2232" w:type="dxa"/>
            <w:vAlign w:val="center"/>
          </w:tcPr>
          <w:p w14:paraId="5692568B">
            <w:pPr>
              <w:pStyle w:val="231"/>
              <w:keepNext w:val="0"/>
              <w:keepLines w:val="0"/>
              <w:pageBreakBefore w:val="0"/>
              <w:kinsoku/>
              <w:wordWrap/>
              <w:overflowPunct/>
              <w:topLinePunct w:val="0"/>
              <w:autoSpaceDE/>
              <w:autoSpaceDN/>
              <w:bidi w:val="0"/>
              <w:adjustRightInd/>
              <w:spacing w:line="324"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报价得分</w:t>
            </w:r>
          </w:p>
          <w:p w14:paraId="26F159FD">
            <w:pPr>
              <w:pStyle w:val="231"/>
              <w:keepNext w:val="0"/>
              <w:keepLines w:val="0"/>
              <w:pageBreakBefore w:val="0"/>
              <w:kinsoku/>
              <w:wordWrap/>
              <w:overflowPunct/>
              <w:topLinePunct w:val="0"/>
              <w:autoSpaceDE/>
              <w:autoSpaceDN/>
              <w:bidi w:val="0"/>
              <w:adjustRightInd/>
              <w:spacing w:line="324"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（30分）</w:t>
            </w:r>
          </w:p>
        </w:tc>
        <w:tc>
          <w:tcPr>
            <w:tcW w:w="6338" w:type="dxa"/>
          </w:tcPr>
          <w:p w14:paraId="43500FD5">
            <w:pPr>
              <w:pStyle w:val="231"/>
              <w:keepNext w:val="0"/>
              <w:keepLines w:val="0"/>
              <w:pageBreakBefore w:val="0"/>
              <w:kinsoku/>
              <w:wordWrap/>
              <w:overflowPunct/>
              <w:topLinePunct w:val="0"/>
              <w:autoSpaceDE/>
              <w:autoSpaceDN/>
              <w:bidi w:val="0"/>
              <w:adjustRightInd/>
              <w:spacing w:line="324" w:lineRule="auto"/>
              <w:jc w:val="left"/>
              <w:textAlignment w:val="auto"/>
              <w:rPr>
                <w:sz w:val="21"/>
                <w:szCs w:val="21"/>
              </w:rPr>
            </w:pPr>
            <w:r>
              <w:rPr>
                <w:rFonts w:hint="eastAsia"/>
                <w:sz w:val="21"/>
                <w:szCs w:val="21"/>
              </w:rPr>
              <w:t>报价得分采用低价优先法计算，即根据满足</w:t>
            </w:r>
            <w:r>
              <w:rPr>
                <w:rFonts w:hint="eastAsia"/>
                <w:sz w:val="21"/>
                <w:szCs w:val="21"/>
                <w:lang w:val="en-US" w:eastAsia="zh-CN"/>
              </w:rPr>
              <w:t>采购</w:t>
            </w:r>
            <w:r>
              <w:rPr>
                <w:rFonts w:hint="eastAsia"/>
                <w:sz w:val="21"/>
                <w:szCs w:val="21"/>
              </w:rPr>
              <w:t>文件要求且有效的最低报价，计算出评标价，以最低报价作为</w:t>
            </w:r>
            <w:r>
              <w:rPr>
                <w:rFonts w:hint="eastAsia"/>
                <w:sz w:val="21"/>
                <w:szCs w:val="21"/>
                <w:lang w:val="en-US" w:eastAsia="zh-CN"/>
              </w:rPr>
              <w:t>评标</w:t>
            </w:r>
            <w:r>
              <w:rPr>
                <w:rFonts w:hint="eastAsia"/>
                <w:sz w:val="21"/>
                <w:szCs w:val="21"/>
              </w:rPr>
              <w:t>基准报价，其报价得分为满分。其他供应商的报价得分统一按照下列公式计算：价格评分=（评标基准价／评标价）×价格评分权重</w:t>
            </w:r>
          </w:p>
        </w:tc>
      </w:tr>
    </w:tbl>
    <w:p w14:paraId="5BD0D794">
      <w:pPr>
        <w:rPr>
          <w:rFonts w:ascii="宋体" w:hAnsi="宋体" w:cs="宋体"/>
          <w:b/>
          <w:bCs/>
          <w:color w:val="auto"/>
          <w:szCs w:val="21"/>
        </w:rPr>
      </w:pPr>
    </w:p>
    <w:p w14:paraId="2829E9C1">
      <w:pPr>
        <w:rPr>
          <w:rFonts w:ascii="宋体" w:hAnsi="宋体" w:cs="宋体"/>
          <w:b/>
          <w:bCs/>
          <w:color w:val="auto"/>
          <w:sz w:val="28"/>
          <w:szCs w:val="28"/>
        </w:rPr>
      </w:pPr>
      <w:r>
        <w:rPr>
          <w:rFonts w:hint="eastAsia" w:ascii="宋体" w:hAnsi="宋体" w:cs="宋体"/>
          <w:color w:val="auto"/>
          <w:szCs w:val="36"/>
        </w:rPr>
        <w:br w:type="page"/>
      </w:r>
    </w:p>
    <w:p w14:paraId="0B1AD611">
      <w:pPr>
        <w:pStyle w:val="13"/>
        <w:rPr>
          <w:rFonts w:ascii="宋体" w:hAnsi="宋体" w:cs="宋体"/>
          <w:color w:val="auto"/>
          <w:highlight w:val="yellow"/>
        </w:rPr>
      </w:pPr>
    </w:p>
    <w:p w14:paraId="38E0571A">
      <w:pPr>
        <w:pStyle w:val="2"/>
        <w:spacing w:before="0" w:after="0" w:line="480" w:lineRule="exact"/>
        <w:jc w:val="center"/>
        <w:rPr>
          <w:rFonts w:ascii="宋体" w:hAnsi="宋体" w:cs="宋体"/>
          <w:color w:val="auto"/>
          <w:szCs w:val="36"/>
        </w:rPr>
      </w:pPr>
      <w:bookmarkStart w:id="380" w:name="_Toc4107"/>
      <w:r>
        <w:rPr>
          <w:rFonts w:hint="eastAsia" w:ascii="宋体" w:hAnsi="宋体" w:cs="宋体"/>
          <w:color w:val="auto"/>
          <w:szCs w:val="36"/>
        </w:rPr>
        <w:t>第五章  合同书格式</w:t>
      </w:r>
      <w:bookmarkEnd w:id="380"/>
    </w:p>
    <w:p w14:paraId="0D03C53B">
      <w:pPr>
        <w:pStyle w:val="118"/>
        <w:spacing w:line="440" w:lineRule="exact"/>
        <w:rPr>
          <w:rFonts w:cs="宋体"/>
          <w:b/>
          <w:bCs/>
          <w:color w:val="auto"/>
          <w:sz w:val="24"/>
        </w:rPr>
      </w:pPr>
      <w:r>
        <w:rPr>
          <w:rFonts w:hint="eastAsia" w:cs="宋体"/>
          <w:color w:val="auto"/>
        </w:rPr>
        <w:t>（《采购人需求》中另有规定的，以采购人需求为准）</w:t>
      </w:r>
    </w:p>
    <w:p w14:paraId="7AFDD620">
      <w:pPr>
        <w:spacing w:line="440" w:lineRule="exact"/>
        <w:jc w:val="center"/>
        <w:rPr>
          <w:rFonts w:ascii="宋体" w:hAnsi="宋体" w:cs="宋体"/>
          <w:color w:val="auto"/>
        </w:rPr>
      </w:pPr>
      <w:r>
        <w:rPr>
          <w:rFonts w:hint="eastAsia" w:ascii="宋体" w:hAnsi="宋体" w:cs="宋体"/>
          <w:color w:val="auto"/>
        </w:rPr>
        <w:t>注：本合同书为参考格式，甲乙双方可根据实际情况进行补充。</w:t>
      </w:r>
    </w:p>
    <w:p w14:paraId="41A9780C">
      <w:pPr>
        <w:keepNext w:val="0"/>
        <w:keepLines w:val="0"/>
        <w:pageBreakBefore w:val="0"/>
        <w:widowControl w:val="0"/>
        <w:tabs>
          <w:tab w:val="left" w:pos="720"/>
        </w:tabs>
        <w:kinsoku/>
        <w:wordWrap/>
        <w:overflowPunct/>
        <w:topLinePunct w:val="0"/>
        <w:autoSpaceDE/>
        <w:autoSpaceDN/>
        <w:bidi w:val="0"/>
        <w:adjustRightInd/>
        <w:snapToGrid/>
        <w:spacing w:line="360" w:lineRule="exact"/>
        <w:textAlignment w:val="auto"/>
        <w:rPr>
          <w:rFonts w:ascii="宋体" w:hAnsi="宋体" w:cs="宋体"/>
          <w:b/>
          <w:color w:val="auto"/>
          <w:szCs w:val="21"/>
        </w:rPr>
      </w:pPr>
      <w:r>
        <w:rPr>
          <w:rFonts w:hint="eastAsia" w:ascii="宋体" w:hAnsi="宋体" w:cs="宋体"/>
          <w:b/>
          <w:color w:val="auto"/>
          <w:szCs w:val="21"/>
        </w:rPr>
        <w:t>甲    方：</w:t>
      </w:r>
      <w:r>
        <w:rPr>
          <w:rFonts w:hint="eastAsia" w:ascii="宋体" w:hAnsi="宋体" w:cs="宋体"/>
          <w:b w:val="0"/>
          <w:bCs/>
          <w:color w:val="auto"/>
          <w:szCs w:val="21"/>
          <w:u w:val="single"/>
        </w:rPr>
        <w:t>广东省北江监狱</w:t>
      </w:r>
    </w:p>
    <w:p w14:paraId="0CF51F3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Cs w:val="21"/>
        </w:rPr>
      </w:pPr>
      <w:r>
        <w:rPr>
          <w:rFonts w:hint="eastAsia" w:ascii="宋体" w:hAnsi="宋体" w:cs="宋体"/>
          <w:color w:val="auto"/>
          <w:szCs w:val="21"/>
        </w:rPr>
        <w:t>电    话：           　   传  真：           地  址：</w:t>
      </w:r>
    </w:p>
    <w:p w14:paraId="6B73AFE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
          <w:color w:val="auto"/>
          <w:szCs w:val="21"/>
          <w:u w:val="single"/>
        </w:rPr>
      </w:pPr>
      <w:r>
        <w:rPr>
          <w:rFonts w:hint="eastAsia" w:ascii="宋体" w:hAnsi="宋体" w:cs="宋体"/>
          <w:b/>
          <w:color w:val="auto"/>
          <w:szCs w:val="21"/>
        </w:rPr>
        <w:t>乙    方：</w:t>
      </w:r>
      <w:r>
        <w:rPr>
          <w:rFonts w:hint="eastAsia" w:ascii="宋体" w:hAnsi="宋体" w:cs="宋体"/>
          <w:b/>
          <w:color w:val="auto"/>
          <w:szCs w:val="21"/>
          <w:u w:val="single"/>
        </w:rPr>
        <w:t xml:space="preserve">                 </w:t>
      </w:r>
    </w:p>
    <w:p w14:paraId="4F70FFD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Cs w:val="21"/>
        </w:rPr>
      </w:pPr>
      <w:r>
        <w:rPr>
          <w:rFonts w:hint="eastAsia" w:ascii="宋体" w:hAnsi="宋体" w:cs="宋体"/>
          <w:color w:val="auto"/>
          <w:szCs w:val="21"/>
        </w:rPr>
        <w:t>电    话：                传  真：           地  址：</w:t>
      </w:r>
    </w:p>
    <w:p w14:paraId="3B638871">
      <w:pPr>
        <w:pStyle w:val="231"/>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 w:val="21"/>
        </w:rPr>
      </w:pPr>
    </w:p>
    <w:p w14:paraId="6A4239C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Calibri" w:hAnsi="Calibri" w:eastAsia="宋体" w:cs="Times New Roman"/>
          <w:color w:val="auto"/>
          <w:sz w:val="21"/>
          <w:lang w:val="en-US" w:eastAsia="zh-Hans"/>
        </w:rPr>
      </w:pPr>
      <w:r>
        <w:rPr>
          <w:rFonts w:hint="eastAsia" w:ascii="宋体" w:hAnsi="宋体" w:eastAsia="宋体" w:cs="宋体"/>
          <w:color w:val="auto"/>
          <w:sz w:val="21"/>
          <w:lang w:val="en-US" w:eastAsia="zh-Hans"/>
        </w:rPr>
        <w:t>根据</w:t>
      </w:r>
      <w:r>
        <w:rPr>
          <w:rFonts w:hint="eastAsia" w:ascii="宋体" w:hAnsi="宋体" w:eastAsia="宋体" w:cs="宋体"/>
          <w:color w:val="auto"/>
          <w:sz w:val="21"/>
          <w:u w:val="single"/>
          <w:lang w:val="en-US" w:eastAsia="zh-CN"/>
        </w:rPr>
        <w:t>广东省北江监狱2025-2027年医院外送检验项目</w:t>
      </w:r>
      <w:r>
        <w:rPr>
          <w:rFonts w:hint="eastAsia" w:ascii="宋体" w:hAnsi="宋体" w:eastAsia="宋体" w:cs="宋体"/>
          <w:color w:val="auto"/>
          <w:sz w:val="21"/>
          <w:lang w:val="en-US" w:eastAsia="zh-Hans"/>
        </w:rPr>
        <w:t>的采购结果</w:t>
      </w:r>
      <w:r>
        <w:rPr>
          <w:rFonts w:hint="eastAsia" w:ascii="Calibri" w:hAnsi="Calibri" w:eastAsia="宋体" w:cs="Times New Roman"/>
          <w:color w:val="auto"/>
          <w:sz w:val="21"/>
          <w:lang w:val="en-US" w:eastAsia="zh-Hans"/>
        </w:rPr>
        <w:t>，按照《中华人民共和国民法典》的规定，经双方协商，本着平等互利和诚实信用的原则，一致同意遵守本合同如下。</w:t>
      </w:r>
    </w:p>
    <w:p w14:paraId="6641E106">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ascii="Times New Roman" w:hAnsi="Times New Roman" w:eastAsia="宋体" w:cs="Times New Roman"/>
          <w:kern w:val="2"/>
          <w:sz w:val="21"/>
          <w:lang w:val="en-US" w:eastAsia="zh-CN" w:bidi="ar-SA"/>
        </w:rPr>
        <w:t>一、</w:t>
      </w:r>
      <w:r>
        <w:rPr>
          <w:rFonts w:hint="eastAsia" w:ascii="宋体" w:hAnsi="宋体" w:eastAsia="宋体" w:cs="宋体"/>
          <w:b/>
          <w:bCs/>
          <w:color w:val="auto"/>
          <w:sz w:val="21"/>
          <w:szCs w:val="21"/>
          <w:highlight w:val="none"/>
          <w:lang w:eastAsia="zh-CN"/>
        </w:rPr>
        <w:t>合同</w:t>
      </w:r>
      <w:r>
        <w:rPr>
          <w:rFonts w:hint="eastAsia" w:ascii="宋体" w:hAnsi="宋体" w:eastAsia="宋体" w:cs="宋体"/>
          <w:b/>
          <w:bCs/>
          <w:color w:val="auto"/>
          <w:lang w:eastAsia="zh-CN"/>
        </w:rPr>
        <w:t>金额</w:t>
      </w:r>
      <w:r>
        <w:rPr>
          <w:rFonts w:hint="eastAsia" w:ascii="宋体" w:hAnsi="宋体" w:cs="宋体"/>
          <w:b/>
          <w:bCs/>
          <w:color w:val="auto"/>
          <w:lang w:eastAsia="zh-CN"/>
        </w:rPr>
        <w:t>：</w:t>
      </w:r>
      <w:r>
        <w:rPr>
          <w:rFonts w:hint="eastAsia" w:ascii="宋体" w:hAnsi="宋体" w:eastAsia="宋体" w:cs="宋体"/>
          <w:color w:val="auto"/>
        </w:rPr>
        <w:t>人民币_________________（</w:t>
      </w:r>
      <w:r>
        <w:rPr>
          <w:rFonts w:hint="eastAsia" w:hAnsi="宋体" w:cs="宋体"/>
          <w:color w:val="auto"/>
          <w:lang w:val="en-US" w:eastAsia="zh-CN"/>
        </w:rPr>
        <w:t>小写</w:t>
      </w:r>
      <w:r>
        <w:rPr>
          <w:rFonts w:hint="eastAsia" w:ascii="宋体" w:hAnsi="宋体" w:eastAsia="宋体" w:cs="宋体"/>
          <w:color w:val="auto"/>
        </w:rPr>
        <w:t>¥_______________）</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成交下浮率</w:t>
      </w:r>
      <w:r>
        <w:rPr>
          <w:rFonts w:hint="eastAsia" w:ascii="宋体" w:hAnsi="宋体" w:eastAsia="宋体" w:cs="宋体"/>
          <w:color w:val="auto"/>
          <w:szCs w:val="21"/>
          <w:highlight w:val="none"/>
          <w:lang w:eastAsia="zh-CN"/>
        </w:rPr>
        <w:t>为百分之</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eastAsia="zh-CN"/>
        </w:rPr>
        <w:t>（小写：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包含所有人员的工资、保险、服务过程中税金、上门收取标本、标本运输、出具报告等费用。</w:t>
      </w:r>
      <w:r>
        <w:rPr>
          <w:rFonts w:hint="eastAsia" w:ascii="宋体" w:hAnsi="宋体" w:eastAsia="宋体" w:cs="宋体"/>
          <w:b w:val="0"/>
          <w:bCs w:val="0"/>
          <w:color w:val="auto"/>
          <w:sz w:val="21"/>
          <w:szCs w:val="21"/>
          <w:lang w:val="en-US" w:eastAsia="zh-CN"/>
        </w:rPr>
        <w:t>以实际发生项目结算费用</w:t>
      </w:r>
      <w:r>
        <w:rPr>
          <w:rFonts w:hint="eastAsia" w:ascii="宋体" w:hAnsi="宋体" w:cs="宋体"/>
          <w:b w:val="0"/>
          <w:bCs w:val="0"/>
          <w:color w:val="auto"/>
          <w:sz w:val="21"/>
          <w:szCs w:val="21"/>
          <w:lang w:val="en-US" w:eastAsia="zh-CN"/>
        </w:rPr>
        <w:t>。</w:t>
      </w:r>
    </w:p>
    <w:p w14:paraId="4319C9AE">
      <w:pPr>
        <w:keepNext w:val="0"/>
        <w:keepLines w:val="0"/>
        <w:pageBreakBefore w:val="0"/>
        <w:tabs>
          <w:tab w:val="left" w:pos="3210"/>
        </w:tabs>
        <w:kinsoku/>
        <w:wordWrap/>
        <w:overflowPunct/>
        <w:topLinePunct w:val="0"/>
        <w:autoSpaceDE/>
        <w:autoSpaceDN/>
        <w:bidi w:val="0"/>
        <w:adjustRightInd/>
        <w:snapToGrid w:val="0"/>
        <w:spacing w:line="400" w:lineRule="exact"/>
        <w:textAlignment w:val="baseline"/>
        <w:rPr>
          <w:rFonts w:hint="eastAsia"/>
          <w:b/>
          <w:bCs/>
          <w:color w:val="auto"/>
          <w:lang w:val="en-US" w:eastAsia="zh-CN"/>
        </w:rPr>
      </w:pPr>
      <w:r>
        <w:rPr>
          <w:rFonts w:hint="eastAsia" w:ascii="Times New Roman" w:eastAsia="宋体"/>
          <w:b/>
          <w:color w:val="auto"/>
          <w:szCs w:val="21"/>
          <w:lang w:val="en-US" w:eastAsia="zh-CN"/>
        </w:rPr>
        <w:t>二</w:t>
      </w:r>
      <w:r>
        <w:rPr>
          <w:rFonts w:hint="eastAsia"/>
          <w:b/>
          <w:color w:val="auto"/>
          <w:szCs w:val="21"/>
        </w:rPr>
        <w:t>、</w:t>
      </w:r>
      <w:r>
        <w:rPr>
          <w:rFonts w:hint="eastAsia" w:ascii="Times New Roman" w:eastAsia="宋体"/>
          <w:b/>
          <w:bCs/>
          <w:color w:val="auto"/>
          <w:lang w:val="en-US" w:eastAsia="zh-CN"/>
        </w:rPr>
        <w:t>服务期及服务地点</w:t>
      </w:r>
    </w:p>
    <w:p w14:paraId="180E0303">
      <w:pPr>
        <w:keepNext w:val="0"/>
        <w:keepLines w:val="0"/>
        <w:pageBreakBefore w:val="0"/>
        <w:widowControl w:val="0"/>
        <w:tabs>
          <w:tab w:val="left" w:pos="3210"/>
        </w:tabs>
        <w:kinsoku/>
        <w:wordWrap/>
        <w:overflowPunct/>
        <w:topLinePunct w:val="0"/>
        <w:autoSpaceDE/>
        <w:autoSpaceDN/>
        <w:bidi w:val="0"/>
        <w:adjustRightInd/>
        <w:snapToGrid w:val="0"/>
        <w:spacing w:line="400" w:lineRule="exact"/>
        <w:ind w:firstLine="420" w:firstLineChars="200"/>
        <w:textAlignment w:val="baseline"/>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1.服务期：自合同签订之日起2年</w:t>
      </w:r>
    </w:p>
    <w:p w14:paraId="1270E398">
      <w:pPr>
        <w:keepNext w:val="0"/>
        <w:keepLines w:val="0"/>
        <w:pageBreakBefore w:val="0"/>
        <w:widowControl w:val="0"/>
        <w:tabs>
          <w:tab w:val="left" w:pos="3210"/>
        </w:tabs>
        <w:kinsoku/>
        <w:wordWrap/>
        <w:overflowPunct/>
        <w:topLinePunct w:val="0"/>
        <w:autoSpaceDE/>
        <w:autoSpaceDN/>
        <w:bidi w:val="0"/>
        <w:adjustRightInd/>
        <w:snapToGrid w:val="0"/>
        <w:spacing w:line="400" w:lineRule="exact"/>
        <w:ind w:firstLine="420" w:firstLineChars="200"/>
        <w:textAlignment w:val="baseline"/>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2.服务地点：广东省北江监狱医院</w:t>
      </w:r>
    </w:p>
    <w:p w14:paraId="42C301F3">
      <w:pPr>
        <w:keepNext w:val="0"/>
        <w:keepLines w:val="0"/>
        <w:pageBreakBefore w:val="0"/>
        <w:widowControl w:val="0"/>
        <w:tabs>
          <w:tab w:val="left" w:pos="3210"/>
        </w:tabs>
        <w:kinsoku/>
        <w:wordWrap/>
        <w:overflowPunct/>
        <w:topLinePunct w:val="0"/>
        <w:autoSpaceDE/>
        <w:autoSpaceDN/>
        <w:bidi w:val="0"/>
        <w:adjustRightInd/>
        <w:snapToGrid w:val="0"/>
        <w:spacing w:line="400" w:lineRule="exact"/>
        <w:textAlignment w:val="baseline"/>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三、检验项目内容及单价</w:t>
      </w:r>
    </w:p>
    <w:tbl>
      <w:tblPr>
        <w:tblStyle w:val="46"/>
        <w:tblW w:w="4810" w:type="pct"/>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7316"/>
        <w:gridCol w:w="1504"/>
      </w:tblGrid>
      <w:tr w14:paraId="25F4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927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C614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检验项目</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C49E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单价（元）</w:t>
            </w:r>
          </w:p>
        </w:tc>
      </w:tr>
      <w:tr w14:paraId="49FC5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5C9CA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D8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五分类血常规</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AC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14:paraId="5E796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10BED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C03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尿常规</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4C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107C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613F3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719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大便常规+潜血</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DE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14:paraId="0A8A6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0C0EB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1EE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梅毒抗体TPPA</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4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14:paraId="3CA41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3C798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9A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血沉</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CD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CEF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37A4A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A9A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人类免疫缺陷病毒抗体定性（金标法）</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469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14:paraId="219DF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628D5A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3C8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肝功：谷丙、谷草、总蛋白、白蛋白、球蛋白、γ-谷酰转肽酶、碱性磷酸酶、乳酸脱氢酶</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CE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1CC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1942F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5C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肝功3项：（ALT,TP,ALB）</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9E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F25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1B3D9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1A6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肝功5项（三项+AST,γ-GT）</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C2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7AC5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71540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361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胆红素三项：总胆红素、直接胆红素、间接胆红素</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8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C6E0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64E7D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431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肾功四项：血糖、尿素、尿酸、肌酐</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BE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77E0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3C7EB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7B3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血脂4项：总胆固醇、甘油三酯、高密度脂蛋白、低密度脂蛋白</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3C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9712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348" w:type="pct"/>
            <w:tcBorders>
              <w:top w:val="nil"/>
              <w:left w:val="single" w:color="000000" w:sz="4" w:space="0"/>
              <w:bottom w:val="single" w:color="auto" w:sz="4" w:space="0"/>
              <w:right w:val="single" w:color="000000" w:sz="4" w:space="0"/>
            </w:tcBorders>
            <w:shd w:val="clear" w:color="auto" w:fill="auto"/>
            <w:vAlign w:val="center"/>
          </w:tcPr>
          <w:p w14:paraId="2F8D0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4D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心肌酶三项：肌红蛋白、肌酸激酶同工酶MB、肌钙蛋白（金标法）</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C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F61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58BE1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858" w:type="pct"/>
            <w:tcBorders>
              <w:top w:val="single" w:color="000000" w:sz="4" w:space="0"/>
              <w:left w:val="single" w:color="auto" w:sz="4" w:space="0"/>
              <w:bottom w:val="single" w:color="000000" w:sz="4" w:space="0"/>
              <w:right w:val="single" w:color="000000" w:sz="4" w:space="0"/>
            </w:tcBorders>
            <w:shd w:val="clear" w:color="auto" w:fill="auto"/>
            <w:vAlign w:val="center"/>
          </w:tcPr>
          <w:p w14:paraId="141B7A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传染病四项：乙肝表面抗原，丙肝抗体、艾滋病毒抗体、梅毒抗体（金标法）</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C0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DE8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single" w:color="auto" w:sz="4" w:space="0"/>
              <w:left w:val="single" w:color="000000" w:sz="4" w:space="0"/>
              <w:bottom w:val="single" w:color="auto" w:sz="4" w:space="0"/>
              <w:right w:val="single" w:color="000000" w:sz="4" w:space="0"/>
            </w:tcBorders>
            <w:shd w:val="clear" w:color="auto" w:fill="auto"/>
            <w:vAlign w:val="center"/>
          </w:tcPr>
          <w:p w14:paraId="1ECAE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910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甲、乙流感抗原筛查</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26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14:paraId="245A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404A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858" w:type="pct"/>
            <w:tcBorders>
              <w:top w:val="single" w:color="000000" w:sz="4" w:space="0"/>
              <w:left w:val="single" w:color="auto" w:sz="4" w:space="0"/>
              <w:bottom w:val="single" w:color="000000" w:sz="4" w:space="0"/>
              <w:right w:val="single" w:color="000000" w:sz="4" w:space="0"/>
            </w:tcBorders>
            <w:shd w:val="clear" w:color="auto" w:fill="auto"/>
            <w:vAlign w:val="center"/>
          </w:tcPr>
          <w:p w14:paraId="6245D9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淀粉酶</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D1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754B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single" w:color="auto" w:sz="4" w:space="0"/>
              <w:left w:val="single" w:color="000000" w:sz="4" w:space="0"/>
              <w:bottom w:val="single" w:color="000000" w:sz="4" w:space="0"/>
              <w:right w:val="single" w:color="000000" w:sz="4" w:space="0"/>
            </w:tcBorders>
            <w:shd w:val="clear" w:color="auto" w:fill="auto"/>
            <w:vAlign w:val="center"/>
          </w:tcPr>
          <w:p w14:paraId="09DFB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8B3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糖化血红蛋白</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6E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DF9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auto" w:sz="4" w:space="0"/>
              <w:right w:val="single" w:color="000000" w:sz="4" w:space="0"/>
            </w:tcBorders>
            <w:shd w:val="clear" w:color="auto" w:fill="auto"/>
            <w:vAlign w:val="center"/>
          </w:tcPr>
          <w:p w14:paraId="071C7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4CC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肿瘤标志物3项(AFP、CEA、CA199)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EF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178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729F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858" w:type="pct"/>
            <w:tcBorders>
              <w:top w:val="single" w:color="000000" w:sz="4" w:space="0"/>
              <w:left w:val="single" w:color="auto" w:sz="4" w:space="0"/>
              <w:bottom w:val="single" w:color="000000" w:sz="4" w:space="0"/>
              <w:right w:val="single" w:color="000000" w:sz="4" w:space="0"/>
            </w:tcBorders>
            <w:shd w:val="clear" w:color="auto" w:fill="auto"/>
            <w:vAlign w:val="center"/>
          </w:tcPr>
          <w:p w14:paraId="334D84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肿瘤标志物五项（AFP,CEA,CA199，CA153，TPSA）</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EB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9E15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single" w:color="auto" w:sz="4" w:space="0"/>
              <w:left w:val="single" w:color="000000" w:sz="4" w:space="0"/>
              <w:bottom w:val="single" w:color="auto" w:sz="4" w:space="0"/>
              <w:right w:val="single" w:color="000000" w:sz="4" w:space="0"/>
            </w:tcBorders>
            <w:shd w:val="clear" w:color="auto" w:fill="auto"/>
            <w:vAlign w:val="center"/>
          </w:tcPr>
          <w:p w14:paraId="2DF8B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CED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直接抗人球蛋白试验</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4F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E5C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063C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858" w:type="pct"/>
            <w:tcBorders>
              <w:top w:val="single" w:color="000000" w:sz="4" w:space="0"/>
              <w:left w:val="single" w:color="auto" w:sz="4" w:space="0"/>
              <w:bottom w:val="single" w:color="000000" w:sz="4" w:space="0"/>
              <w:right w:val="single" w:color="000000" w:sz="4" w:space="0"/>
            </w:tcBorders>
            <w:shd w:val="clear" w:color="auto" w:fill="auto"/>
            <w:vAlign w:val="center"/>
          </w:tcPr>
          <w:p w14:paraId="1BBB6E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乙型肝炎病毒(HBV)DNA测定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C3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7998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single" w:color="auto" w:sz="4" w:space="0"/>
              <w:left w:val="single" w:color="000000" w:sz="4" w:space="0"/>
              <w:bottom w:val="single" w:color="000000" w:sz="4" w:space="0"/>
              <w:right w:val="single" w:color="000000" w:sz="4" w:space="0"/>
            </w:tcBorders>
            <w:shd w:val="clear" w:color="auto" w:fill="auto"/>
            <w:vAlign w:val="center"/>
          </w:tcPr>
          <w:p w14:paraId="71507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89B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一般细菌培养及鉴定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0E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BFB9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1A349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F3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血清免疫固定电泳测定(5项)</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4A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AEA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6F266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292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血管炎四项</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E6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2581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auto" w:sz="4" w:space="0"/>
              <w:right w:val="single" w:color="000000" w:sz="4" w:space="0"/>
            </w:tcBorders>
            <w:shd w:val="clear" w:color="auto" w:fill="auto"/>
            <w:vAlign w:val="center"/>
          </w:tcPr>
          <w:p w14:paraId="23440F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97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血氨（AMM）</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A6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FFE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2D1D8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858" w:type="pct"/>
            <w:tcBorders>
              <w:top w:val="single" w:color="000000" w:sz="4" w:space="0"/>
              <w:left w:val="single" w:color="auto" w:sz="4" w:space="0"/>
              <w:bottom w:val="single" w:color="000000" w:sz="4" w:space="0"/>
              <w:right w:val="single" w:color="000000" w:sz="4" w:space="0"/>
            </w:tcBorders>
            <w:shd w:val="clear" w:color="auto" w:fill="auto"/>
            <w:vAlign w:val="center"/>
          </w:tcPr>
          <w:p w14:paraId="724DC5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胸腹水生化</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34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93A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3AC71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858" w:type="pct"/>
            <w:tcBorders>
              <w:top w:val="single" w:color="000000" w:sz="4" w:space="0"/>
              <w:left w:val="single" w:color="auto" w:sz="4" w:space="0"/>
              <w:bottom w:val="single" w:color="000000" w:sz="4" w:space="0"/>
              <w:right w:val="single" w:color="000000" w:sz="4" w:space="0"/>
            </w:tcBorders>
            <w:shd w:val="clear" w:color="auto" w:fill="auto"/>
            <w:vAlign w:val="center"/>
          </w:tcPr>
          <w:p w14:paraId="4299F5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胸腹水常规</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0F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B3A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single" w:color="auto" w:sz="4" w:space="0"/>
              <w:left w:val="single" w:color="000000" w:sz="4" w:space="0"/>
              <w:bottom w:val="single" w:color="000000" w:sz="4" w:space="0"/>
              <w:right w:val="single" w:color="000000" w:sz="4" w:space="0"/>
            </w:tcBorders>
            <w:shd w:val="clear" w:color="auto" w:fill="auto"/>
            <w:vAlign w:val="center"/>
          </w:tcPr>
          <w:p w14:paraId="37351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6F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心肌酶三项(肌钙蛋白I，肌酸激酶同工酶，肌红蛋白)定量</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2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14:paraId="067F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77BF37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45B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无机磷</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C95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4EF7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0E5EF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51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网织红细胞+有核红细胞检测</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A6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843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5C860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921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涂片找抗酸杆菌</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21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14:paraId="61FF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24B0E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489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同型半胱氨酸</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DF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9F56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0A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380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糖尿病抗体三项（IAA,GAD-Ab,ICA）</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25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513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B1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C80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他克莫司(普乐可复)（质谱法)</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63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14:paraId="67E6D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5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C3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水痘带状疱疹病毒IgG+IgM</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B4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4AB3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2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70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人类白细胞抗原-B27</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548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3E12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22ECB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A28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葡萄糖6磷酸脱氢酶</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FC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DDA7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4DFFB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798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贫血3项(铁蛋白，叶酸，维生素B12)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A1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14:paraId="2B5D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58ADA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CAD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凝血四项</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2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6C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011E9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F07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免疫球蛋白五项(IgG、IgA、IgM、C3和C4)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D9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703C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2962B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ACB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梅毒甲苯胺红不加热血清试验</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E9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C5A4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4532B1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F96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类风湿因子</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EB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ABA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383C1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DC0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抗核抗体4项</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9A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71F6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22E998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771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结核分枝杆菌脱氧核糖核酸测定（TB DNA）</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85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201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4C969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B88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结核分枝杆菌抗体</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F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9942CAE">
        <w:tblPrEx>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2119F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5EB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间接抗人球蛋白试验</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FC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55B6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4E6B1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741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甲功3项(FT3，FT4，TSH)</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47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686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30F89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6F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甲功5项：FT3，FT4，rT3，TSH,TAGb</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7D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7C44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07F5C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19B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甲功7项（甲功5项，MCA,TRAb）</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D6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14:paraId="7CA7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36DEF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A20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甲胎蛋白</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8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20A4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5235B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6CD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风湿4项(AS0、RF、CRP、CCP)</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00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1BAB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67EA7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74F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电解质5项</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A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01B8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0B3F6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BED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地中海贫血α、β基因</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2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DC3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497C3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808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地高辛浓度检测</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3F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7D53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6FDA7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B2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降钙素CT</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B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14:paraId="6FF4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auto" w:sz="4" w:space="0"/>
              <w:right w:val="single" w:color="000000" w:sz="4" w:space="0"/>
            </w:tcBorders>
            <w:shd w:val="clear" w:color="auto" w:fill="auto"/>
            <w:vAlign w:val="center"/>
          </w:tcPr>
          <w:p w14:paraId="7E3A8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8F2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丙型肝炎病毒核酸(HCV RNA)测定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2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F1BF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48658D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3858" w:type="pct"/>
            <w:tcBorders>
              <w:top w:val="single" w:color="000000" w:sz="4" w:space="0"/>
              <w:left w:val="single" w:color="auto" w:sz="4" w:space="0"/>
              <w:bottom w:val="single" w:color="000000" w:sz="4" w:space="0"/>
              <w:right w:val="single" w:color="000000" w:sz="4" w:space="0"/>
            </w:tcBorders>
            <w:shd w:val="clear" w:color="auto" w:fill="auto"/>
            <w:vAlign w:val="center"/>
          </w:tcPr>
          <w:p w14:paraId="23D830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丙肝基因分型(PCR法)</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D7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D0B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20C30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3858" w:type="pct"/>
            <w:tcBorders>
              <w:top w:val="single" w:color="000000" w:sz="4" w:space="0"/>
              <w:left w:val="single" w:color="auto" w:sz="4" w:space="0"/>
              <w:bottom w:val="single" w:color="000000" w:sz="4" w:space="0"/>
              <w:right w:val="single" w:color="000000" w:sz="4" w:space="0"/>
            </w:tcBorders>
            <w:shd w:val="clear" w:color="auto" w:fill="auto"/>
            <w:vAlign w:val="center"/>
          </w:tcPr>
          <w:p w14:paraId="1D4890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癌胚抗原</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23D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14:paraId="5C05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single" w:color="auto" w:sz="4" w:space="0"/>
              <w:left w:val="single" w:color="000000" w:sz="4" w:space="0"/>
              <w:bottom w:val="single" w:color="auto" w:sz="4" w:space="0"/>
              <w:right w:val="single" w:color="000000" w:sz="4" w:space="0"/>
            </w:tcBorders>
            <w:shd w:val="clear" w:color="auto" w:fill="auto"/>
            <w:vAlign w:val="center"/>
          </w:tcPr>
          <w:p w14:paraId="5D70B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C75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EB病毒衣壳抗原IgG+IgM抗体（定量）</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8C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79CE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FAA4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858" w:type="pct"/>
            <w:tcBorders>
              <w:top w:val="single" w:color="000000" w:sz="4" w:space="0"/>
              <w:left w:val="single" w:color="auto" w:sz="4" w:space="0"/>
              <w:bottom w:val="single" w:color="000000" w:sz="4" w:space="0"/>
              <w:right w:val="single" w:color="000000" w:sz="4" w:space="0"/>
            </w:tcBorders>
            <w:shd w:val="clear" w:color="auto" w:fill="auto"/>
            <w:vAlign w:val="center"/>
          </w:tcPr>
          <w:p w14:paraId="447CB1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EB病毒核酸定量检测</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2B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F5EB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single" w:color="auto" w:sz="4" w:space="0"/>
              <w:left w:val="single" w:color="000000" w:sz="4" w:space="0"/>
              <w:bottom w:val="single" w:color="000000" w:sz="4" w:space="0"/>
              <w:right w:val="single" w:color="000000" w:sz="4" w:space="0"/>
            </w:tcBorders>
            <w:shd w:val="clear" w:color="auto" w:fill="auto"/>
            <w:vAlign w:val="center"/>
          </w:tcPr>
          <w:p w14:paraId="4402C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43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D-二聚体</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A1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4E5E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auto" w:sz="4" w:space="0"/>
              <w:right w:val="single" w:color="000000" w:sz="4" w:space="0"/>
            </w:tcBorders>
            <w:shd w:val="clear" w:color="auto" w:fill="auto"/>
            <w:vAlign w:val="center"/>
          </w:tcPr>
          <w:p w14:paraId="580E9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67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C肽</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52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4305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08E9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3858" w:type="pct"/>
            <w:tcBorders>
              <w:top w:val="single" w:color="000000" w:sz="4" w:space="0"/>
              <w:left w:val="single" w:color="auto" w:sz="4" w:space="0"/>
              <w:bottom w:val="single" w:color="000000" w:sz="4" w:space="0"/>
              <w:right w:val="single" w:color="000000" w:sz="4" w:space="0"/>
            </w:tcBorders>
            <w:shd w:val="clear" w:color="auto" w:fill="auto"/>
            <w:vAlign w:val="center"/>
          </w:tcPr>
          <w:p w14:paraId="43A61F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C反应蛋白</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7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2EA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single" w:color="auto" w:sz="4" w:space="0"/>
              <w:left w:val="single" w:color="000000" w:sz="4" w:space="0"/>
              <w:bottom w:val="single" w:color="auto" w:sz="4" w:space="0"/>
              <w:right w:val="single" w:color="000000" w:sz="4" w:space="0"/>
            </w:tcBorders>
            <w:shd w:val="clear" w:color="auto" w:fill="auto"/>
            <w:vAlign w:val="center"/>
          </w:tcPr>
          <w:p w14:paraId="4F3C4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9A0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B-型尿钠肽测定</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76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1F26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22E1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3858" w:type="pct"/>
            <w:tcBorders>
              <w:top w:val="single" w:color="000000" w:sz="4" w:space="0"/>
              <w:left w:val="single" w:color="auto" w:sz="4" w:space="0"/>
              <w:bottom w:val="single" w:color="000000" w:sz="4" w:space="0"/>
              <w:right w:val="single" w:color="000000" w:sz="4" w:space="0"/>
            </w:tcBorders>
            <w:shd w:val="clear" w:color="auto" w:fill="auto"/>
            <w:vAlign w:val="center"/>
          </w:tcPr>
          <w:p w14:paraId="2A33EE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红细胞脆性试验</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4B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1E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single" w:color="auto" w:sz="4" w:space="0"/>
              <w:left w:val="single" w:color="000000" w:sz="4" w:space="0"/>
              <w:bottom w:val="single" w:color="000000" w:sz="4" w:space="0"/>
              <w:right w:val="single" w:color="000000" w:sz="4" w:space="0"/>
            </w:tcBorders>
            <w:shd w:val="clear" w:color="auto" w:fill="auto"/>
            <w:vAlign w:val="center"/>
          </w:tcPr>
          <w:p w14:paraId="2681EB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E32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24小时尿蛋白定量</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48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974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nil"/>
              <w:left w:val="single" w:color="000000" w:sz="4" w:space="0"/>
              <w:bottom w:val="single" w:color="auto" w:sz="4" w:space="0"/>
              <w:right w:val="single" w:color="000000" w:sz="4" w:space="0"/>
            </w:tcBorders>
            <w:shd w:val="clear" w:color="auto" w:fill="auto"/>
            <w:vAlign w:val="center"/>
          </w:tcPr>
          <w:p w14:paraId="0670C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3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D9B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乙肝两对半（定性）</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5A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707D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75FEF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3858" w:type="pct"/>
            <w:tcBorders>
              <w:top w:val="single" w:color="000000" w:sz="4" w:space="0"/>
              <w:left w:val="single" w:color="auto" w:sz="4" w:space="0"/>
              <w:bottom w:val="single" w:color="000000" w:sz="4" w:space="0"/>
              <w:right w:val="single" w:color="000000" w:sz="4" w:space="0"/>
            </w:tcBorders>
            <w:shd w:val="clear" w:color="auto" w:fill="auto"/>
            <w:vAlign w:val="center"/>
          </w:tcPr>
          <w:p w14:paraId="1AF1FF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乙肝两对半（定量）</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0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FA9C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675E57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3858" w:type="pct"/>
            <w:tcBorders>
              <w:top w:val="single" w:color="000000" w:sz="4" w:space="0"/>
              <w:left w:val="single" w:color="auto" w:sz="4" w:space="0"/>
              <w:bottom w:val="single" w:color="auto" w:sz="4" w:space="0"/>
              <w:right w:val="single" w:color="000000" w:sz="4" w:space="0"/>
            </w:tcBorders>
            <w:shd w:val="clear" w:color="auto" w:fill="auto"/>
            <w:vAlign w:val="center"/>
          </w:tcPr>
          <w:p w14:paraId="7FCAE8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高血压四项</w:t>
            </w:r>
          </w:p>
        </w:tc>
        <w:tc>
          <w:tcPr>
            <w:tcW w:w="793" w:type="pct"/>
            <w:tcBorders>
              <w:top w:val="single" w:color="000000" w:sz="4" w:space="0"/>
              <w:left w:val="single" w:color="000000" w:sz="4" w:space="0"/>
              <w:bottom w:val="single" w:color="auto" w:sz="4" w:space="0"/>
              <w:right w:val="single" w:color="000000" w:sz="4" w:space="0"/>
            </w:tcBorders>
            <w:shd w:val="clear" w:color="auto" w:fill="auto"/>
            <w:vAlign w:val="center"/>
          </w:tcPr>
          <w:p w14:paraId="73AFD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0C4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C891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858" w:type="pct"/>
            <w:tcBorders>
              <w:top w:val="single" w:color="auto" w:sz="4" w:space="0"/>
              <w:left w:val="single" w:color="auto" w:sz="4" w:space="0"/>
              <w:bottom w:val="single" w:color="auto" w:sz="4" w:space="0"/>
              <w:right w:val="single" w:color="auto" w:sz="4" w:space="0"/>
            </w:tcBorders>
            <w:shd w:val="clear" w:color="auto" w:fill="auto"/>
            <w:vAlign w:val="center"/>
          </w:tcPr>
          <w:p w14:paraId="7CAA88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肝纤维化指标4项</w:t>
            </w:r>
          </w:p>
        </w:tc>
        <w:tc>
          <w:tcPr>
            <w:tcW w:w="793" w:type="pct"/>
            <w:tcBorders>
              <w:top w:val="single" w:color="auto" w:sz="4" w:space="0"/>
              <w:left w:val="single" w:color="auto" w:sz="4" w:space="0"/>
              <w:bottom w:val="single" w:color="auto" w:sz="4" w:space="0"/>
              <w:right w:val="single" w:color="auto" w:sz="4" w:space="0"/>
            </w:tcBorders>
            <w:shd w:val="clear" w:color="auto" w:fill="auto"/>
            <w:vAlign w:val="center"/>
          </w:tcPr>
          <w:p w14:paraId="3893B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6FC461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备注：</w:t>
      </w:r>
    </w:p>
    <w:p w14:paraId="0E398BAB">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第1至17项为监狱医院已开展项目，18至70项为未开展项目，检验项目结算单价以</w:t>
      </w:r>
      <w:r>
        <w:rPr>
          <w:rFonts w:hint="eastAsia" w:ascii="宋体" w:hAnsi="宋体" w:cs="宋体"/>
          <w:color w:val="auto"/>
          <w:sz w:val="20"/>
          <w:szCs w:val="20"/>
          <w:lang w:val="en-US" w:eastAsia="zh-CN"/>
        </w:rPr>
        <w:t>成交</w:t>
      </w:r>
      <w:r>
        <w:rPr>
          <w:rFonts w:hint="eastAsia" w:ascii="宋体" w:hAnsi="宋体" w:eastAsia="宋体" w:cs="宋体"/>
          <w:color w:val="auto"/>
          <w:sz w:val="20"/>
          <w:szCs w:val="20"/>
          <w:lang w:val="en-US" w:eastAsia="zh-CN"/>
        </w:rPr>
        <w:t>价进</w:t>
      </w:r>
      <w:r>
        <w:rPr>
          <w:rFonts w:hint="eastAsia" w:ascii="宋体" w:hAnsi="宋体" w:eastAsia="宋体" w:cs="宋体"/>
          <w:sz w:val="20"/>
          <w:szCs w:val="20"/>
          <w:lang w:val="en-US" w:eastAsia="zh-CN"/>
        </w:rPr>
        <w:t>行结算</w:t>
      </w:r>
      <w:r>
        <w:rPr>
          <w:rFonts w:hint="eastAsia" w:ascii="宋体" w:hAnsi="宋体" w:cs="宋体"/>
          <w:sz w:val="20"/>
          <w:szCs w:val="20"/>
          <w:lang w:val="en-US" w:eastAsia="zh-CN"/>
        </w:rPr>
        <w:t>。</w:t>
      </w:r>
    </w:p>
    <w:p w14:paraId="12955A7A">
      <w:pPr>
        <w:keepNext w:val="0"/>
        <w:keepLines w:val="0"/>
        <w:pageBreakBefore w:val="0"/>
        <w:tabs>
          <w:tab w:val="left" w:pos="3210"/>
        </w:tabs>
        <w:kinsoku/>
        <w:wordWrap/>
        <w:overflowPunct/>
        <w:topLinePunct w:val="0"/>
        <w:autoSpaceDE/>
        <w:autoSpaceDN/>
        <w:bidi w:val="0"/>
        <w:adjustRightInd/>
        <w:snapToGrid w:val="0"/>
        <w:spacing w:line="400" w:lineRule="exact"/>
        <w:textAlignment w:val="baseline"/>
        <w:rPr>
          <w:rFonts w:hint="default"/>
          <w:b/>
          <w:bCs/>
          <w:color w:val="auto"/>
          <w:lang w:val="en-US" w:eastAsia="zh-CN"/>
        </w:rPr>
      </w:pPr>
      <w:r>
        <w:rPr>
          <w:rFonts w:hint="eastAsia" w:ascii="Times New Roman" w:eastAsia="宋体"/>
          <w:b/>
          <w:bCs/>
          <w:color w:val="auto"/>
          <w:lang w:val="en-US" w:eastAsia="zh-CN"/>
        </w:rPr>
        <w:t>四、服务要求</w:t>
      </w:r>
    </w:p>
    <w:p w14:paraId="4E8DB85C">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样本运输要求直立、封闭，对于需冷藏或有特殊要求的样本与</w:t>
      </w:r>
      <w:r>
        <w:rPr>
          <w:rFonts w:hint="eastAsia" w:ascii="宋体" w:hAnsi="宋体" w:eastAsia="宋体" w:cs="宋体"/>
          <w:color w:val="auto"/>
          <w:sz w:val="21"/>
          <w:szCs w:val="21"/>
          <w:lang w:val="en-US" w:eastAsia="zh-CN"/>
        </w:rPr>
        <w:t>监狱医院</w:t>
      </w:r>
      <w:r>
        <w:rPr>
          <w:rFonts w:hint="eastAsia" w:ascii="宋体" w:hAnsi="宋体" w:eastAsia="宋体" w:cs="宋体"/>
          <w:color w:val="auto"/>
          <w:sz w:val="21"/>
          <w:szCs w:val="21"/>
          <w:lang w:eastAsia="zh-CN"/>
        </w:rPr>
        <w:t>商定，同时保证物流运输过程样品质量和环境安全。</w:t>
      </w:r>
    </w:p>
    <w:p w14:paraId="430205D1">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2.监狱医</w:t>
      </w:r>
      <w:r>
        <w:rPr>
          <w:rFonts w:hint="eastAsia" w:ascii="宋体" w:hAnsi="宋体" w:eastAsia="宋体" w:cs="宋体"/>
          <w:color w:val="auto"/>
          <w:sz w:val="21"/>
          <w:szCs w:val="21"/>
          <w:lang w:eastAsia="zh-CN"/>
        </w:rPr>
        <w:t>院采集样本后由</w:t>
      </w:r>
      <w:r>
        <w:rPr>
          <w:rFonts w:hint="eastAsia" w:ascii="宋体" w:hAnsi="宋体" w:eastAsia="宋体" w:cs="宋体"/>
          <w:color w:val="auto"/>
          <w:sz w:val="21"/>
          <w:szCs w:val="21"/>
          <w:lang w:val="en-US" w:eastAsia="zh-CN"/>
        </w:rPr>
        <w:t>检验单位</w:t>
      </w:r>
      <w:r>
        <w:rPr>
          <w:rFonts w:hint="eastAsia" w:ascii="宋体" w:hAnsi="宋体" w:eastAsia="宋体" w:cs="宋体"/>
          <w:color w:val="auto"/>
          <w:sz w:val="21"/>
          <w:szCs w:val="21"/>
          <w:lang w:eastAsia="zh-CN"/>
        </w:rPr>
        <w:t>派专人专车按指定时间到</w:t>
      </w:r>
      <w:r>
        <w:rPr>
          <w:rFonts w:hint="eastAsia" w:ascii="宋体" w:hAnsi="宋体" w:cs="宋体"/>
          <w:color w:val="auto"/>
          <w:sz w:val="21"/>
          <w:szCs w:val="21"/>
          <w:lang w:val="en-US" w:eastAsia="zh-CN"/>
        </w:rPr>
        <w:t>达</w:t>
      </w:r>
      <w:r>
        <w:rPr>
          <w:rFonts w:hint="eastAsia" w:ascii="宋体" w:hAnsi="宋体" w:eastAsia="宋体" w:cs="宋体"/>
          <w:color w:val="auto"/>
          <w:sz w:val="21"/>
          <w:szCs w:val="21"/>
          <w:lang w:eastAsia="zh-CN"/>
        </w:rPr>
        <w:t>指定地点接收，遇特殊标本需机动收取。提供标本紧急检验服务，</w:t>
      </w:r>
      <w:r>
        <w:rPr>
          <w:rFonts w:hint="eastAsia" w:ascii="宋体" w:hAnsi="宋体" w:eastAsia="宋体" w:cs="宋体"/>
          <w:color w:val="auto"/>
          <w:sz w:val="21"/>
          <w:szCs w:val="21"/>
          <w:lang w:val="en-US" w:eastAsia="zh-CN"/>
        </w:rPr>
        <w:t>监狱医院</w:t>
      </w:r>
      <w:r>
        <w:rPr>
          <w:rFonts w:hint="eastAsia" w:ascii="宋体" w:hAnsi="宋体" w:eastAsia="宋体" w:cs="宋体"/>
          <w:color w:val="auto"/>
          <w:sz w:val="21"/>
          <w:szCs w:val="21"/>
          <w:lang w:eastAsia="zh-CN"/>
        </w:rPr>
        <w:t>有紧急检验时需</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小时内到达指定地点收取标本，急诊检验需在2小时内回报结果。</w:t>
      </w:r>
      <w:r>
        <w:rPr>
          <w:rFonts w:hint="eastAsia" w:ascii="宋体" w:hAnsi="宋体" w:eastAsia="宋体" w:cs="宋体"/>
          <w:color w:val="auto"/>
          <w:sz w:val="21"/>
          <w:szCs w:val="21"/>
        </w:rPr>
        <w:t>如</w:t>
      </w:r>
      <w:r>
        <w:rPr>
          <w:rFonts w:hint="eastAsia" w:ascii="宋体" w:hAnsi="宋体" w:eastAsia="宋体" w:cs="宋体"/>
          <w:color w:val="auto"/>
          <w:sz w:val="21"/>
          <w:szCs w:val="21"/>
          <w:lang w:val="en-US" w:eastAsia="zh-CN"/>
        </w:rPr>
        <w:t>检验项目</w:t>
      </w:r>
      <w:r>
        <w:rPr>
          <w:rFonts w:hint="eastAsia" w:ascii="宋体" w:hAnsi="宋体" w:eastAsia="宋体" w:cs="宋体"/>
          <w:color w:val="auto"/>
          <w:sz w:val="21"/>
          <w:szCs w:val="21"/>
        </w:rPr>
        <w:t>出现危</w:t>
      </w:r>
      <w:r>
        <w:rPr>
          <w:rFonts w:hint="eastAsia" w:ascii="宋体" w:hAnsi="宋体" w:cs="宋体"/>
          <w:color w:val="auto"/>
          <w:sz w:val="21"/>
          <w:szCs w:val="21"/>
          <w:lang w:eastAsia="zh-CN"/>
        </w:rPr>
        <w:t>急</w:t>
      </w:r>
      <w:r>
        <w:rPr>
          <w:rFonts w:hint="eastAsia" w:ascii="宋体" w:hAnsi="宋体" w:eastAsia="宋体" w:cs="宋体"/>
          <w:color w:val="auto"/>
          <w:sz w:val="21"/>
          <w:szCs w:val="21"/>
        </w:rPr>
        <w:t>值，</w:t>
      </w:r>
      <w:r>
        <w:rPr>
          <w:rFonts w:hint="eastAsia" w:ascii="宋体" w:hAnsi="宋体" w:eastAsia="宋体" w:cs="宋体"/>
          <w:color w:val="auto"/>
          <w:sz w:val="21"/>
          <w:szCs w:val="21"/>
          <w:lang w:val="en-US" w:eastAsia="zh-CN"/>
        </w:rPr>
        <w:t>检验单位</w:t>
      </w:r>
      <w:r>
        <w:rPr>
          <w:rFonts w:hint="eastAsia" w:ascii="宋体" w:hAnsi="宋体" w:eastAsia="宋体" w:cs="宋体"/>
          <w:color w:val="auto"/>
          <w:sz w:val="21"/>
          <w:szCs w:val="21"/>
        </w:rPr>
        <w:t>应立即电话告知监狱医院</w:t>
      </w:r>
      <w:r>
        <w:rPr>
          <w:rFonts w:hint="eastAsia" w:ascii="宋体" w:hAnsi="宋体" w:eastAsia="宋体" w:cs="宋体"/>
          <w:color w:val="auto"/>
          <w:sz w:val="21"/>
          <w:szCs w:val="21"/>
          <w:lang w:eastAsia="zh-CN"/>
        </w:rPr>
        <w:t>。</w:t>
      </w:r>
    </w:p>
    <w:p w14:paraId="59A44BB7">
      <w:pPr>
        <w:spacing w:line="360" w:lineRule="auto"/>
        <w:ind w:firstLine="420" w:firstLineChars="200"/>
        <w:rPr>
          <w:rFonts w:hint="eastAsia" w:ascii="宋体" w:hAnsi="宋体" w:eastAsia="宋体" w:cs="宋体"/>
          <w:color w:val="0070C0"/>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检验单位保证对所有标本、检验结果及相关资料等保密，如有泄露，对此造成不良影响及后果的，</w:t>
      </w:r>
      <w:r>
        <w:rPr>
          <w:rFonts w:hint="eastAsia" w:ascii="宋体" w:hAnsi="宋体" w:eastAsia="宋体" w:cs="宋体"/>
          <w:color w:val="auto"/>
          <w:sz w:val="21"/>
          <w:szCs w:val="21"/>
          <w:lang w:val="en-US" w:eastAsia="zh-CN"/>
        </w:rPr>
        <w:t>检验单位</w:t>
      </w:r>
      <w:r>
        <w:rPr>
          <w:rFonts w:hint="eastAsia" w:ascii="宋体" w:hAnsi="宋体" w:eastAsia="宋体" w:cs="宋体"/>
          <w:color w:val="auto"/>
          <w:sz w:val="21"/>
          <w:szCs w:val="21"/>
          <w:lang w:eastAsia="zh-CN"/>
        </w:rPr>
        <w:t>负全</w:t>
      </w:r>
      <w:r>
        <w:rPr>
          <w:rFonts w:hint="eastAsia" w:ascii="宋体" w:hAnsi="宋体" w:eastAsia="宋体" w:cs="宋体"/>
          <w:color w:val="auto"/>
          <w:sz w:val="21"/>
          <w:szCs w:val="21"/>
          <w:lang w:val="en-US" w:eastAsia="zh-CN"/>
        </w:rPr>
        <w:t>部责任</w:t>
      </w:r>
      <w:r>
        <w:rPr>
          <w:rFonts w:hint="eastAsia" w:ascii="宋体" w:hAnsi="宋体" w:eastAsia="宋体" w:cs="宋体"/>
          <w:color w:val="auto"/>
          <w:sz w:val="21"/>
          <w:szCs w:val="21"/>
          <w:lang w:eastAsia="zh-CN"/>
        </w:rPr>
        <w:t>。检测样本、检测数据的所有权</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使用权为</w:t>
      </w:r>
      <w:r>
        <w:rPr>
          <w:rFonts w:hint="eastAsia" w:ascii="宋体" w:hAnsi="宋体" w:eastAsia="宋体" w:cs="宋体"/>
          <w:color w:val="auto"/>
          <w:sz w:val="21"/>
          <w:szCs w:val="21"/>
          <w:lang w:val="en-US" w:eastAsia="zh-CN"/>
        </w:rPr>
        <w:t>监狱</w:t>
      </w:r>
      <w:r>
        <w:rPr>
          <w:rFonts w:hint="eastAsia" w:ascii="宋体" w:hAnsi="宋体" w:eastAsia="宋体" w:cs="宋体"/>
          <w:color w:val="auto"/>
          <w:sz w:val="21"/>
          <w:szCs w:val="21"/>
          <w:lang w:eastAsia="zh-CN"/>
        </w:rPr>
        <w:t>所有，检验单位未经允许不得挪作他用。检验单位需保证结果的公正性,不受任何诱惑或压力的干扰。</w:t>
      </w:r>
    </w:p>
    <w:p w14:paraId="4D8981D8">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4.检验单位有</w:t>
      </w:r>
      <w:r>
        <w:rPr>
          <w:rFonts w:hint="eastAsia" w:ascii="宋体" w:hAnsi="宋体" w:eastAsia="宋体" w:cs="宋体"/>
          <w:color w:val="auto"/>
          <w:sz w:val="21"/>
          <w:szCs w:val="21"/>
          <w:lang w:eastAsia="zh-CN"/>
        </w:rPr>
        <w:t>明确的报告发布时间服务承诺</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常规检测报告正常1-2个工作日出具</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特殊项目（如肝纤）按《检测项目手册》规定的出报告时间出具。报告发送方式为送达、网络查询打印或其他方式。如检验单位检测报告超出约定时间严重后果</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lang w:eastAsia="zh-CN"/>
        </w:rPr>
        <w:t>造成恶劣影响的，应承担相应的法律和经济责任。</w:t>
      </w:r>
    </w:p>
    <w:p w14:paraId="75795F07">
      <w:pPr>
        <w:spacing w:line="360" w:lineRule="auto"/>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5.检验单位</w:t>
      </w:r>
      <w:r>
        <w:rPr>
          <w:rFonts w:hint="eastAsia" w:ascii="宋体" w:hAnsi="宋体" w:eastAsia="宋体" w:cs="宋体"/>
          <w:color w:val="auto"/>
          <w:sz w:val="21"/>
          <w:szCs w:val="21"/>
          <w:lang w:eastAsia="zh-CN"/>
        </w:rPr>
        <w:t>提供免费服务电话</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网络查询</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微信查询等多种渠道供</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eastAsia="zh-CN"/>
        </w:rPr>
        <w:t>相关临床科室进行业务咨询</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报告查询，账单查询统计功能等</w:t>
      </w:r>
      <w:r>
        <w:rPr>
          <w:rFonts w:hint="eastAsia" w:ascii="宋体" w:hAnsi="宋体" w:eastAsia="宋体" w:cs="宋体"/>
          <w:color w:val="auto"/>
          <w:sz w:val="21"/>
          <w:szCs w:val="21"/>
          <w:lang w:val="en-US" w:eastAsia="zh-CN"/>
        </w:rPr>
        <w:t>。</w:t>
      </w:r>
    </w:p>
    <w:p w14:paraId="232B4F9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6.检验单位</w:t>
      </w:r>
      <w:r>
        <w:rPr>
          <w:rFonts w:hint="eastAsia" w:ascii="宋体" w:hAnsi="宋体" w:eastAsia="宋体" w:cs="宋体"/>
          <w:color w:val="auto"/>
          <w:sz w:val="21"/>
          <w:szCs w:val="21"/>
        </w:rPr>
        <w:t>必须配备检验项目所需的仪器，检验人员需具备丰富的临床经验。</w:t>
      </w:r>
    </w:p>
    <w:p w14:paraId="5DF893CA">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7.检验单位</w:t>
      </w:r>
      <w:r>
        <w:rPr>
          <w:rFonts w:hint="eastAsia" w:ascii="宋体" w:hAnsi="宋体" w:eastAsia="宋体" w:cs="宋体"/>
          <w:color w:val="auto"/>
          <w:kern w:val="0"/>
          <w:sz w:val="21"/>
          <w:szCs w:val="21"/>
        </w:rPr>
        <w:t>必须按规定进行标本的</w:t>
      </w:r>
      <w:r>
        <w:rPr>
          <w:rFonts w:hint="eastAsia" w:ascii="宋体" w:hAnsi="宋体" w:eastAsia="宋体" w:cs="宋体"/>
          <w:color w:val="auto"/>
          <w:kern w:val="0"/>
          <w:sz w:val="21"/>
          <w:szCs w:val="21"/>
          <w:lang w:eastAsia="zh-CN"/>
        </w:rPr>
        <w:t>检验</w:t>
      </w:r>
      <w:r>
        <w:rPr>
          <w:rFonts w:hint="eastAsia" w:ascii="宋体" w:hAnsi="宋体" w:eastAsia="宋体" w:cs="宋体"/>
          <w:color w:val="auto"/>
          <w:kern w:val="0"/>
          <w:sz w:val="21"/>
          <w:szCs w:val="21"/>
        </w:rPr>
        <w:t>，确保检验结果的准确性。</w:t>
      </w:r>
    </w:p>
    <w:p w14:paraId="7EC292E9">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r>
        <w:rPr>
          <w:rFonts w:hint="eastAsia" w:ascii="宋体" w:hAnsi="宋体" w:eastAsia="宋体" w:cs="宋体"/>
          <w:b w:val="0"/>
          <w:bCs/>
          <w:i w:val="0"/>
          <w:iCs w:val="0"/>
          <w:color w:val="auto"/>
          <w:sz w:val="21"/>
          <w:szCs w:val="21"/>
          <w:u w:val="none"/>
        </w:rPr>
        <w:t>检验项目</w:t>
      </w:r>
      <w:r>
        <w:rPr>
          <w:rFonts w:hint="eastAsia" w:ascii="宋体" w:hAnsi="宋体" w:cs="宋体"/>
          <w:color w:val="auto"/>
          <w:kern w:val="0"/>
          <w:sz w:val="21"/>
          <w:szCs w:val="21"/>
          <w:lang w:val="en-US" w:eastAsia="zh-CN"/>
        </w:rPr>
        <w:t>若需</w:t>
      </w:r>
      <w:r>
        <w:rPr>
          <w:rFonts w:hint="eastAsia" w:ascii="宋体" w:hAnsi="宋体" w:eastAsia="宋体" w:cs="宋体"/>
          <w:color w:val="auto"/>
          <w:kern w:val="0"/>
          <w:sz w:val="21"/>
          <w:szCs w:val="21"/>
          <w:lang w:val="en-US" w:eastAsia="zh-CN"/>
        </w:rPr>
        <w:t>指定、特定耗材进行检验的，</w:t>
      </w:r>
      <w:r>
        <w:rPr>
          <w:rFonts w:hint="eastAsia" w:ascii="宋体" w:hAnsi="宋体" w:eastAsia="宋体" w:cs="宋体"/>
          <w:color w:val="auto"/>
          <w:sz w:val="21"/>
          <w:szCs w:val="21"/>
          <w:lang w:val="en-US" w:eastAsia="zh-CN"/>
        </w:rPr>
        <w:t>检验单位</w:t>
      </w:r>
      <w:r>
        <w:rPr>
          <w:rFonts w:hint="eastAsia" w:ascii="宋体" w:hAnsi="宋体" w:eastAsia="宋体" w:cs="宋体"/>
          <w:color w:val="auto"/>
          <w:kern w:val="0"/>
          <w:sz w:val="21"/>
          <w:szCs w:val="21"/>
          <w:lang w:val="en-US" w:eastAsia="zh-CN"/>
        </w:rPr>
        <w:t>需无条件提供充足的采样耗材。</w:t>
      </w:r>
    </w:p>
    <w:p w14:paraId="6FBB0A9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b/>
          <w:bCs/>
          <w:color w:val="auto"/>
          <w:sz w:val="21"/>
          <w:szCs w:val="21"/>
          <w:lang w:val="en-US" w:eastAsia="zh-CN"/>
        </w:rPr>
      </w:pPr>
      <w:r>
        <w:rPr>
          <w:rFonts w:hint="eastAsia" w:ascii="宋体" w:hAnsi="宋体" w:cs="宋体"/>
          <w:b/>
          <w:bCs/>
          <w:color w:val="auto"/>
          <w:kern w:val="0"/>
          <w:sz w:val="21"/>
          <w:szCs w:val="21"/>
          <w:lang w:val="en-US" w:eastAsia="zh-CN" w:bidi="ar"/>
        </w:rPr>
        <w:t>五、</w:t>
      </w:r>
      <w:r>
        <w:rPr>
          <w:rFonts w:hint="eastAsia" w:ascii="宋体" w:hAnsi="宋体" w:cs="宋体"/>
          <w:b/>
          <w:bCs/>
          <w:color w:val="auto"/>
          <w:sz w:val="21"/>
          <w:szCs w:val="21"/>
          <w:lang w:val="en-US" w:eastAsia="zh-CN"/>
        </w:rPr>
        <w:t>验收要求</w:t>
      </w:r>
    </w:p>
    <w:p w14:paraId="6DAAC0AF">
      <w:pPr>
        <w:widowControl/>
        <w:spacing w:line="360" w:lineRule="auto"/>
        <w:ind w:firstLine="420"/>
        <w:jc w:val="left"/>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外送检验项目服务期限为两年，合同实行一年一签，共两年。监狱医院每三个月对本项目合同执行情况进行考核评分，</w:t>
      </w:r>
      <w:r>
        <w:rPr>
          <w:rFonts w:hint="eastAsia" w:ascii="宋体" w:hAnsi="宋体" w:eastAsia="宋体" w:cs="宋体"/>
          <w:color w:val="auto"/>
          <w:kern w:val="0"/>
          <w:sz w:val="21"/>
          <w:szCs w:val="21"/>
          <w:lang w:val="en-US" w:eastAsia="zh-CN" w:bidi="ar-SA"/>
        </w:rPr>
        <w:t>考核满分为100分，考核内容主要包括样本接收运输、报告出具、特定检验耗材、结果查询、账目核对等。</w:t>
      </w:r>
      <w:r>
        <w:rPr>
          <w:rFonts w:hint="eastAsia" w:ascii="宋体" w:hAnsi="宋体" w:eastAsia="宋体" w:cs="宋体"/>
          <w:b w:val="0"/>
          <w:bCs w:val="0"/>
          <w:color w:val="auto"/>
          <w:kern w:val="0"/>
          <w:sz w:val="21"/>
          <w:szCs w:val="21"/>
          <w:highlight w:val="none"/>
          <w:u w:val="none"/>
          <w:lang w:val="en-US" w:eastAsia="zh-CN" w:bidi="ar-SA"/>
        </w:rPr>
        <w:t>第二年项目合同续签前综合前三次的评分情况，平均分得分低于85分的，取消第二年项目合同续签。量化计分标准如下：</w:t>
      </w:r>
    </w:p>
    <w:p w14:paraId="06280E3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i w:val="0"/>
          <w:iCs w:val="0"/>
          <w:color w:val="000000"/>
          <w:kern w:val="0"/>
          <w:sz w:val="28"/>
          <w:szCs w:val="28"/>
          <w:u w:val="none"/>
          <w:lang w:val="en-US" w:eastAsia="zh-CN" w:bidi="ar"/>
        </w:rPr>
        <w:t>广东省北江监狱2025-2027年度外送检验项目评分表</w:t>
      </w:r>
    </w:p>
    <w:tbl>
      <w:tblPr>
        <w:tblStyle w:val="4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1"/>
        <w:gridCol w:w="741"/>
        <w:gridCol w:w="7848"/>
      </w:tblGrid>
      <w:tr w14:paraId="796F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D115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考核内容</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CA22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BCF6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考核评分</w:t>
            </w:r>
          </w:p>
        </w:tc>
      </w:tr>
      <w:tr w14:paraId="3752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0" w:type="pct"/>
            <w:vMerge w:val="restart"/>
            <w:tcBorders>
              <w:top w:val="single" w:color="000000" w:sz="4" w:space="0"/>
              <w:left w:val="single" w:color="000000" w:sz="4" w:space="0"/>
              <w:bottom w:val="nil"/>
              <w:right w:val="single" w:color="000000" w:sz="4" w:space="0"/>
            </w:tcBorders>
            <w:shd w:val="clear" w:color="auto" w:fill="auto"/>
            <w:vAlign w:val="center"/>
          </w:tcPr>
          <w:p w14:paraId="023BE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样本接收、运输</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53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781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未派专人专车到指定时间和地点接收的，每次扣5分</w:t>
            </w:r>
          </w:p>
        </w:tc>
      </w:tr>
      <w:tr w14:paraId="50392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0" w:type="pct"/>
            <w:vMerge w:val="continue"/>
            <w:tcBorders>
              <w:top w:val="single" w:color="000000" w:sz="4" w:space="0"/>
              <w:left w:val="single" w:color="000000" w:sz="4" w:space="0"/>
              <w:bottom w:val="nil"/>
              <w:right w:val="single" w:color="000000" w:sz="4" w:space="0"/>
            </w:tcBorders>
            <w:shd w:val="clear" w:color="auto" w:fill="auto"/>
            <w:vAlign w:val="center"/>
          </w:tcPr>
          <w:p w14:paraId="7A0A7549">
            <w:pPr>
              <w:jc w:val="center"/>
              <w:rPr>
                <w:rFonts w:hint="eastAsia" w:ascii="宋体" w:hAnsi="宋体" w:eastAsia="宋体" w:cs="宋体"/>
                <w:i w:val="0"/>
                <w:iCs w:val="0"/>
                <w:color w:val="000000"/>
                <w:sz w:val="21"/>
                <w:szCs w:val="21"/>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67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04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急查项目未在1小时内到达指定地点收取标本，每次扣5分</w:t>
            </w:r>
          </w:p>
        </w:tc>
      </w:tr>
      <w:tr w14:paraId="19404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0" w:type="pct"/>
            <w:vMerge w:val="continue"/>
            <w:tcBorders>
              <w:top w:val="single" w:color="000000" w:sz="4" w:space="0"/>
              <w:left w:val="single" w:color="000000" w:sz="4" w:space="0"/>
              <w:bottom w:val="nil"/>
              <w:right w:val="single" w:color="000000" w:sz="4" w:space="0"/>
            </w:tcBorders>
            <w:shd w:val="clear" w:color="auto" w:fill="auto"/>
            <w:vAlign w:val="center"/>
          </w:tcPr>
          <w:p w14:paraId="1432F730">
            <w:pPr>
              <w:jc w:val="center"/>
              <w:rPr>
                <w:rFonts w:hint="eastAsia" w:ascii="宋体" w:hAnsi="宋体" w:eastAsia="宋体" w:cs="宋体"/>
                <w:i w:val="0"/>
                <w:iCs w:val="0"/>
                <w:color w:val="000000"/>
                <w:sz w:val="21"/>
                <w:szCs w:val="21"/>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7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544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遇送检样本不达标时，未及时反馈或单方面取消检验的，每次扣5分</w:t>
            </w:r>
          </w:p>
        </w:tc>
      </w:tr>
      <w:tr w14:paraId="20863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7D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报告出具</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12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998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急查项目未在2小时内未回报结果的，每次扣5分</w:t>
            </w:r>
          </w:p>
        </w:tc>
      </w:tr>
      <w:tr w14:paraId="5DAD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853F5">
            <w:pPr>
              <w:jc w:val="center"/>
              <w:rPr>
                <w:rFonts w:hint="eastAsia" w:ascii="宋体" w:hAnsi="宋体" w:eastAsia="宋体" w:cs="宋体"/>
                <w:i w:val="0"/>
                <w:iCs w:val="0"/>
                <w:color w:val="000000"/>
                <w:sz w:val="21"/>
                <w:szCs w:val="21"/>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1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544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常规检测报告未在1-2个工作日出具报告的，每次扣5分</w:t>
            </w:r>
          </w:p>
        </w:tc>
      </w:tr>
      <w:tr w14:paraId="51B3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22567">
            <w:pPr>
              <w:jc w:val="center"/>
              <w:rPr>
                <w:rFonts w:hint="eastAsia" w:ascii="宋体" w:hAnsi="宋体" w:eastAsia="宋体" w:cs="宋体"/>
                <w:i w:val="0"/>
                <w:iCs w:val="0"/>
                <w:color w:val="000000"/>
                <w:sz w:val="21"/>
                <w:szCs w:val="21"/>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0CE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463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检验出现危急值，未按规定及时反馈的，每次扣5分</w:t>
            </w:r>
          </w:p>
        </w:tc>
      </w:tr>
      <w:tr w14:paraId="450C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07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检验耗材</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2B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F55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指定、特定耗材检验项目，未提供充足的采样耗材的，每次扣5分</w:t>
            </w:r>
          </w:p>
        </w:tc>
      </w:tr>
      <w:tr w14:paraId="0457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9A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结果查询</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A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C8E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不提供纸质检验报告或拒绝提供电子版等在线查询方式的，每次扣5分</w:t>
            </w:r>
          </w:p>
        </w:tc>
      </w:tr>
      <w:tr w14:paraId="30EA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55DE7">
            <w:pPr>
              <w:jc w:val="center"/>
              <w:rPr>
                <w:rFonts w:hint="eastAsia" w:ascii="宋体" w:hAnsi="宋体" w:eastAsia="宋体" w:cs="宋体"/>
                <w:i w:val="0"/>
                <w:iCs w:val="0"/>
                <w:color w:val="000000"/>
                <w:sz w:val="21"/>
                <w:szCs w:val="21"/>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3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D7B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检验报告出现信息录入错误，拒绝更正信息的，每次扣5分</w:t>
            </w:r>
          </w:p>
        </w:tc>
      </w:tr>
      <w:tr w14:paraId="2FF70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D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账目核对</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FE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B72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未按合同约定提供明细供对账的，每次扣5分</w:t>
            </w:r>
          </w:p>
        </w:tc>
      </w:tr>
    </w:tbl>
    <w:p w14:paraId="26F77C6B">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备注：</w:t>
      </w:r>
    </w:p>
    <w:p w14:paraId="498A70E8">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lang w:eastAsia="zh-CN"/>
        </w:rPr>
        <w:t>）由监狱医院进行考核，考核内容主要包括样本接收运输、报告出具、特定检验耗材、结果查询、账目核对等，考核分为100分，扣完为止。</w:t>
      </w:r>
    </w:p>
    <w:p w14:paraId="5D933E32">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lang w:eastAsia="zh-CN"/>
        </w:rPr>
        <w:t>）监狱医院每三个月对本项目合同执行情况进行评分，第二年项目合同续签前综合前三次的评分情况，平均分得分低于85分的，取消第二年项目合同续签。</w:t>
      </w:r>
    </w:p>
    <w:p w14:paraId="15323DC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六、检验费用结算方式</w:t>
      </w:r>
    </w:p>
    <w:p w14:paraId="463CECFD">
      <w:pPr>
        <w:tabs>
          <w:tab w:val="left" w:pos="720"/>
        </w:tabs>
        <w:spacing w:line="360" w:lineRule="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结算原则</w:t>
      </w:r>
    </w:p>
    <w:p w14:paraId="6FCB4951">
      <w:pPr>
        <w:tabs>
          <w:tab w:val="left" w:pos="720"/>
        </w:tabs>
        <w:spacing w:line="360" w:lineRule="auto"/>
        <w:ind w:firstLine="420" w:firstLineChars="200"/>
        <w:rPr>
          <w:rFonts w:hint="eastAsia" w:ascii="宋体" w:hAnsi="宋体" w:eastAsia="宋体" w:cs="宋体"/>
          <w:color w:val="auto"/>
          <w:sz w:val="21"/>
          <w:szCs w:val="21"/>
        </w:rPr>
      </w:pP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1</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在支付检验费用时，</w:t>
      </w:r>
      <w:r>
        <w:rPr>
          <w:rFonts w:hint="eastAsia" w:ascii="宋体" w:hAnsi="宋体" w:eastAsia="宋体" w:cs="宋体"/>
          <w:color w:val="auto"/>
          <w:sz w:val="21"/>
          <w:szCs w:val="21"/>
        </w:rPr>
        <w:t>以实际发生项目结算金额。</w:t>
      </w:r>
    </w:p>
    <w:p w14:paraId="5D123A9C">
      <w:pPr>
        <w:widowControl w:val="0"/>
        <w:spacing w:line="360" w:lineRule="auto"/>
        <w:ind w:firstLine="420"/>
        <w:jc w:val="both"/>
        <w:rPr>
          <w:rFonts w:hint="eastAsia" w:ascii="宋体" w:hAnsi="宋体" w:eastAsia="宋体" w:cs="宋体"/>
          <w:color w:val="auto"/>
          <w:kern w:val="2"/>
          <w:sz w:val="21"/>
          <w:szCs w:val="21"/>
          <w:lang w:val="en-US" w:eastAsia="zh-CN" w:bidi="ar-SA"/>
        </w:rPr>
      </w:pPr>
      <w:r>
        <w:rPr>
          <w:rFonts w:hint="eastAsia" w:ascii="宋体" w:hAnsi="宋体" w:eastAsia="宋体" w:cs="宋体"/>
          <w:b w:val="0"/>
          <w:bCs/>
          <w:i w:val="0"/>
          <w:iCs w:val="0"/>
          <w:color w:val="auto"/>
          <w:kern w:val="2"/>
          <w:sz w:val="21"/>
          <w:szCs w:val="21"/>
          <w:u w:val="none"/>
          <w:lang w:val="en-US" w:eastAsia="zh-CN" w:bidi="ar-SA"/>
        </w:rPr>
        <w:t>（</w:t>
      </w:r>
      <w:r>
        <w:rPr>
          <w:rFonts w:hint="eastAsia" w:ascii="宋体" w:hAnsi="宋体" w:cs="宋体"/>
          <w:b w:val="0"/>
          <w:bCs/>
          <w:i w:val="0"/>
          <w:iCs w:val="0"/>
          <w:color w:val="auto"/>
          <w:kern w:val="2"/>
          <w:sz w:val="21"/>
          <w:szCs w:val="21"/>
          <w:u w:val="none"/>
          <w:lang w:val="en-US" w:eastAsia="zh-CN" w:bidi="ar-SA"/>
        </w:rPr>
        <w:t>2</w:t>
      </w:r>
      <w:r>
        <w:rPr>
          <w:rFonts w:hint="eastAsia" w:ascii="宋体" w:hAnsi="宋体" w:eastAsia="宋体" w:cs="宋体"/>
          <w:b w:val="0"/>
          <w:bCs/>
          <w:i w:val="0"/>
          <w:iCs w:val="0"/>
          <w:color w:val="auto"/>
          <w:kern w:val="2"/>
          <w:sz w:val="21"/>
          <w:szCs w:val="21"/>
          <w:u w:val="none"/>
          <w:lang w:val="en-US" w:eastAsia="zh-CN" w:bidi="ar-SA"/>
        </w:rPr>
        <w:t>）第1</w:t>
      </w:r>
      <w:r>
        <w:rPr>
          <w:rFonts w:hint="eastAsia" w:ascii="宋体" w:hAnsi="宋体" w:eastAsia="宋体" w:cs="宋体"/>
          <w:color w:val="auto"/>
          <w:kern w:val="2"/>
          <w:sz w:val="21"/>
          <w:szCs w:val="21"/>
          <w:lang w:val="en-US" w:eastAsia="zh-CN" w:bidi="ar-SA"/>
        </w:rPr>
        <w:t>-</w:t>
      </w:r>
      <w:r>
        <w:rPr>
          <w:rFonts w:hint="eastAsia" w:ascii="宋体" w:hAnsi="宋体" w:eastAsia="宋体" w:cs="宋体"/>
          <w:b w:val="0"/>
          <w:bCs/>
          <w:i w:val="0"/>
          <w:iCs w:val="0"/>
          <w:color w:val="auto"/>
          <w:kern w:val="2"/>
          <w:sz w:val="21"/>
          <w:szCs w:val="21"/>
          <w:u w:val="none"/>
          <w:lang w:val="en-US" w:eastAsia="zh-CN" w:bidi="ar-SA"/>
        </w:rPr>
        <w:t>70项结算,根据成交下浮率</w:t>
      </w:r>
      <w:r>
        <w:rPr>
          <w:rFonts w:hint="eastAsia" w:ascii="宋体" w:hAnsi="宋体" w:cs="宋体"/>
          <w:b w:val="0"/>
          <w:bCs/>
          <w:i w:val="0"/>
          <w:iCs w:val="0"/>
          <w:color w:val="auto"/>
          <w:kern w:val="2"/>
          <w:sz w:val="21"/>
          <w:szCs w:val="21"/>
          <w:u w:val="none"/>
          <w:lang w:val="en-US" w:eastAsia="zh-CN" w:bidi="ar-SA"/>
        </w:rPr>
        <w:t>计算的成交</w:t>
      </w:r>
      <w:r>
        <w:rPr>
          <w:rFonts w:hint="eastAsia" w:ascii="宋体" w:hAnsi="宋体" w:eastAsia="宋体" w:cs="宋体"/>
          <w:b w:val="0"/>
          <w:bCs/>
          <w:i w:val="0"/>
          <w:iCs w:val="0"/>
          <w:color w:val="auto"/>
          <w:kern w:val="2"/>
          <w:sz w:val="21"/>
          <w:szCs w:val="21"/>
          <w:u w:val="none"/>
          <w:lang w:val="en-US" w:eastAsia="zh-CN" w:bidi="ar-SA"/>
        </w:rPr>
        <w:t>价格结算。</w:t>
      </w:r>
    </w:p>
    <w:p w14:paraId="69513E90">
      <w:pPr>
        <w:widowControl w:val="0"/>
        <w:spacing w:line="360" w:lineRule="auto"/>
        <w:ind w:firstLine="420"/>
        <w:jc w:val="both"/>
        <w:rPr>
          <w:rFonts w:hint="eastAsia" w:ascii="宋体" w:hAnsi="宋体" w:eastAsia="宋体" w:cs="宋体"/>
          <w:b w:val="0"/>
          <w:bCs/>
          <w:i w:val="0"/>
          <w:iCs w:val="0"/>
          <w:color w:val="auto"/>
          <w:kern w:val="2"/>
          <w:sz w:val="21"/>
          <w:szCs w:val="21"/>
          <w:u w:val="none"/>
          <w:lang w:val="en-US" w:eastAsia="zh-CN" w:bidi="ar-SA"/>
        </w:rPr>
      </w:pPr>
      <w:r>
        <w:rPr>
          <w:rFonts w:hint="eastAsia" w:ascii="宋体" w:hAnsi="宋体" w:eastAsia="宋体" w:cs="宋体"/>
          <w:b w:val="0"/>
          <w:bCs/>
          <w:i w:val="0"/>
          <w:iCs w:val="0"/>
          <w:color w:val="auto"/>
          <w:kern w:val="2"/>
          <w:sz w:val="21"/>
          <w:szCs w:val="21"/>
          <w:u w:val="none"/>
          <w:lang w:val="en-US" w:eastAsia="zh-CN" w:bidi="ar-SA"/>
        </w:rPr>
        <w:t>（</w:t>
      </w:r>
      <w:r>
        <w:rPr>
          <w:rFonts w:hint="eastAsia" w:ascii="宋体" w:hAnsi="宋体" w:cs="宋体"/>
          <w:b w:val="0"/>
          <w:bCs/>
          <w:i w:val="0"/>
          <w:iCs w:val="0"/>
          <w:color w:val="auto"/>
          <w:kern w:val="2"/>
          <w:sz w:val="21"/>
          <w:szCs w:val="21"/>
          <w:u w:val="none"/>
          <w:lang w:val="en-US" w:eastAsia="zh-CN" w:bidi="ar-SA"/>
        </w:rPr>
        <w:t>3</w:t>
      </w:r>
      <w:r>
        <w:rPr>
          <w:rFonts w:hint="eastAsia" w:ascii="宋体" w:hAnsi="宋体" w:eastAsia="宋体" w:cs="宋体"/>
          <w:b w:val="0"/>
          <w:bCs/>
          <w:i w:val="0"/>
          <w:iCs w:val="0"/>
          <w:color w:val="auto"/>
          <w:kern w:val="2"/>
          <w:sz w:val="21"/>
          <w:szCs w:val="21"/>
          <w:u w:val="none"/>
          <w:lang w:val="en-US" w:eastAsia="zh-CN" w:bidi="ar-SA"/>
        </w:rPr>
        <w:t>）</w:t>
      </w:r>
      <w:r>
        <w:rPr>
          <w:rFonts w:hint="eastAsia" w:ascii="宋体" w:hAnsi="宋体" w:eastAsia="宋体" w:cs="宋体"/>
          <w:b w:val="0"/>
          <w:bCs w:val="0"/>
          <w:color w:val="auto"/>
          <w:kern w:val="2"/>
          <w:sz w:val="21"/>
          <w:szCs w:val="21"/>
          <w:u w:val="none"/>
          <w:lang w:val="en-US" w:eastAsia="zh-CN" w:bidi="ar-SA"/>
        </w:rPr>
        <w:t>如有70项以外的其他项目，</w:t>
      </w:r>
      <w:r>
        <w:rPr>
          <w:rFonts w:hint="eastAsia" w:ascii="宋体" w:hAnsi="宋体" w:eastAsia="宋体" w:cs="宋体"/>
          <w:b w:val="0"/>
          <w:bCs/>
          <w:i w:val="0"/>
          <w:iCs w:val="0"/>
          <w:color w:val="auto"/>
          <w:kern w:val="2"/>
          <w:sz w:val="21"/>
          <w:szCs w:val="21"/>
          <w:u w:val="none"/>
          <w:lang w:val="en-US" w:eastAsia="zh-CN" w:bidi="ar-SA"/>
        </w:rPr>
        <w:t>则按</w:t>
      </w:r>
      <w:r>
        <w:rPr>
          <w:rFonts w:hint="eastAsia" w:ascii="宋体" w:hAnsi="宋体" w:cs="宋体"/>
          <w:b w:val="0"/>
          <w:bCs/>
          <w:i w:val="0"/>
          <w:iCs w:val="0"/>
          <w:color w:val="auto"/>
          <w:kern w:val="2"/>
          <w:sz w:val="21"/>
          <w:szCs w:val="21"/>
          <w:u w:val="none"/>
          <w:lang w:val="en-US" w:eastAsia="zh-CN" w:bidi="ar-SA"/>
        </w:rPr>
        <w:t>乙方</w:t>
      </w:r>
      <w:r>
        <w:rPr>
          <w:rFonts w:hint="eastAsia" w:ascii="宋体" w:hAnsi="宋体" w:eastAsia="宋体" w:cs="宋体"/>
          <w:b w:val="0"/>
          <w:bCs/>
          <w:i w:val="0"/>
          <w:iCs w:val="0"/>
          <w:color w:val="auto"/>
          <w:kern w:val="2"/>
          <w:sz w:val="21"/>
          <w:szCs w:val="21"/>
          <w:u w:val="none"/>
          <w:lang w:val="en-US" w:eastAsia="zh-CN" w:bidi="ar-SA"/>
        </w:rPr>
        <w:t>现有收费标准（不得高于物价局定价）</w:t>
      </w:r>
      <w:r>
        <w:rPr>
          <w:rFonts w:hint="eastAsia" w:ascii="宋体" w:hAnsi="宋体" w:cs="宋体"/>
          <w:b w:val="0"/>
          <w:bCs/>
          <w:i w:val="0"/>
          <w:iCs w:val="0"/>
          <w:color w:val="auto"/>
          <w:kern w:val="2"/>
          <w:sz w:val="21"/>
          <w:szCs w:val="21"/>
          <w:u w:val="none"/>
          <w:lang w:val="en-US" w:eastAsia="zh-CN" w:bidi="ar-SA"/>
        </w:rPr>
        <w:t>按成交下浮率计算</w:t>
      </w:r>
      <w:r>
        <w:rPr>
          <w:rFonts w:hint="eastAsia" w:ascii="宋体" w:hAnsi="宋体" w:eastAsia="宋体" w:cs="宋体"/>
          <w:b w:val="0"/>
          <w:bCs/>
          <w:i w:val="0"/>
          <w:iCs w:val="0"/>
          <w:color w:val="auto"/>
          <w:kern w:val="2"/>
          <w:sz w:val="21"/>
          <w:szCs w:val="21"/>
          <w:u w:val="none"/>
          <w:lang w:val="en-US" w:eastAsia="zh-CN" w:bidi="ar-SA"/>
        </w:rPr>
        <w:t>后收费，即检验项目的现有收费标准×（1</w:t>
      </w:r>
      <w:r>
        <w:rPr>
          <w:rFonts w:hint="eastAsia" w:ascii="宋体" w:hAnsi="宋体" w:eastAsia="宋体" w:cs="宋体"/>
          <w:color w:val="auto"/>
          <w:kern w:val="2"/>
          <w:sz w:val="21"/>
          <w:szCs w:val="21"/>
          <w:lang w:val="en-US" w:eastAsia="zh-CN" w:bidi="ar-SA"/>
        </w:rPr>
        <w:t>-</w:t>
      </w:r>
      <w:r>
        <w:rPr>
          <w:rFonts w:hint="eastAsia" w:ascii="宋体" w:hAnsi="宋体" w:eastAsia="宋体" w:cs="宋体"/>
          <w:b w:val="0"/>
          <w:bCs/>
          <w:i w:val="0"/>
          <w:iCs w:val="0"/>
          <w:color w:val="auto"/>
          <w:kern w:val="2"/>
          <w:sz w:val="21"/>
          <w:szCs w:val="21"/>
          <w:u w:val="none"/>
          <w:lang w:val="en-US" w:eastAsia="zh-CN" w:bidi="ar-SA"/>
        </w:rPr>
        <w:t>成交下浮率）×当月实际检验次数。</w:t>
      </w:r>
    </w:p>
    <w:p w14:paraId="48BA1363">
      <w:pPr>
        <w:tabs>
          <w:tab w:val="left" w:pos="720"/>
        </w:tabs>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 xml:space="preserve">具体支付方式和时间： </w:t>
      </w:r>
    </w:p>
    <w:p w14:paraId="6FC4C1B1">
      <w:pPr>
        <w:spacing w:line="360" w:lineRule="auto"/>
        <w:ind w:firstLine="403" w:firstLineChars="192"/>
        <w:rPr>
          <w:rFonts w:hint="eastAsia" w:ascii="宋体" w:hAnsi="宋体" w:cs="宋体"/>
          <w:b/>
          <w:bCs/>
          <w:color w:val="auto"/>
          <w:kern w:val="0"/>
          <w:sz w:val="21"/>
          <w:szCs w:val="21"/>
          <w:lang w:val="en-US" w:eastAsia="zh-CN" w:bidi="ar"/>
        </w:rPr>
      </w:pPr>
      <w:r>
        <w:rPr>
          <w:rFonts w:hint="eastAsia" w:ascii="宋体" w:hAnsi="宋体" w:eastAsia="宋体" w:cs="宋体"/>
          <w:color w:val="auto"/>
          <w:sz w:val="21"/>
          <w:szCs w:val="21"/>
          <w:lang w:val="en-US" w:eastAsia="zh-CN"/>
        </w:rPr>
        <w:t>检验单位</w:t>
      </w:r>
      <w:r>
        <w:rPr>
          <w:rFonts w:hint="eastAsia" w:ascii="宋体" w:hAnsi="宋体" w:eastAsia="宋体" w:cs="宋体"/>
          <w:b w:val="0"/>
          <w:bCs w:val="0"/>
          <w:color w:val="auto"/>
          <w:sz w:val="21"/>
          <w:szCs w:val="21"/>
        </w:rPr>
        <w:t>按月发送检验明细清单，清单上需注明人名、</w:t>
      </w:r>
      <w:r>
        <w:rPr>
          <w:rFonts w:hint="eastAsia" w:ascii="宋体" w:hAnsi="宋体" w:eastAsia="宋体" w:cs="宋体"/>
          <w:b w:val="0"/>
          <w:bCs w:val="0"/>
          <w:color w:val="auto"/>
          <w:sz w:val="21"/>
          <w:szCs w:val="21"/>
          <w:lang w:eastAsia="zh-CN"/>
        </w:rPr>
        <w:t>检</w:t>
      </w:r>
      <w:r>
        <w:rPr>
          <w:rFonts w:hint="eastAsia" w:ascii="宋体" w:hAnsi="宋体" w:eastAsia="宋体" w:cs="宋体"/>
          <w:b w:val="0"/>
          <w:bCs w:val="0"/>
          <w:color w:val="auto"/>
          <w:sz w:val="21"/>
          <w:szCs w:val="21"/>
        </w:rPr>
        <w:t>验项目、金额，汇总后将对账表发至监狱医院</w:t>
      </w:r>
      <w:r>
        <w:rPr>
          <w:rFonts w:hint="eastAsia" w:ascii="宋体" w:hAnsi="宋体" w:eastAsia="宋体" w:cs="宋体"/>
          <w:b w:val="0"/>
          <w:bCs w:val="0"/>
          <w:color w:val="auto"/>
          <w:sz w:val="21"/>
          <w:szCs w:val="21"/>
          <w:lang w:eastAsia="zh-CN"/>
        </w:rPr>
        <w:t>指定</w:t>
      </w:r>
      <w:r>
        <w:rPr>
          <w:rFonts w:hint="eastAsia" w:ascii="宋体" w:hAnsi="宋体" w:eastAsia="宋体" w:cs="宋体"/>
          <w:b w:val="0"/>
          <w:bCs w:val="0"/>
          <w:color w:val="auto"/>
          <w:sz w:val="21"/>
          <w:szCs w:val="21"/>
        </w:rPr>
        <w:t>邮箱</w:t>
      </w:r>
      <w:r>
        <w:rPr>
          <w:rFonts w:hint="eastAsia" w:ascii="宋体" w:hAnsi="宋体" w:eastAsia="宋体" w:cs="宋体"/>
          <w:b w:val="0"/>
          <w:bCs w:val="0"/>
          <w:color w:val="auto"/>
          <w:sz w:val="21"/>
          <w:szCs w:val="21"/>
          <w:lang w:eastAsia="zh-CN"/>
        </w:rPr>
        <w:t>或以其他形式发送</w:t>
      </w:r>
      <w:r>
        <w:rPr>
          <w:rFonts w:hint="eastAsia" w:ascii="宋体" w:hAnsi="宋体" w:eastAsia="宋体" w:cs="宋体"/>
          <w:b w:val="0"/>
          <w:bCs w:val="0"/>
          <w:color w:val="auto"/>
          <w:sz w:val="21"/>
          <w:szCs w:val="21"/>
        </w:rPr>
        <w:t>，供</w:t>
      </w:r>
      <w:r>
        <w:rPr>
          <w:rFonts w:hint="eastAsia" w:ascii="宋体" w:hAnsi="宋体" w:eastAsia="宋体" w:cs="宋体"/>
          <w:b w:val="0"/>
          <w:bCs w:val="0"/>
          <w:color w:val="auto"/>
          <w:sz w:val="21"/>
          <w:szCs w:val="21"/>
          <w:lang w:eastAsia="zh-CN"/>
        </w:rPr>
        <w:t>监狱</w:t>
      </w:r>
      <w:r>
        <w:rPr>
          <w:rFonts w:hint="eastAsia" w:ascii="宋体" w:hAnsi="宋体" w:eastAsia="宋体" w:cs="宋体"/>
          <w:b w:val="0"/>
          <w:bCs w:val="0"/>
          <w:color w:val="auto"/>
          <w:sz w:val="21"/>
          <w:szCs w:val="21"/>
        </w:rPr>
        <w:t>医院核对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核对无误后</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将发票、清单送监狱医院</w:t>
      </w:r>
      <w:r>
        <w:rPr>
          <w:rFonts w:hint="eastAsia" w:ascii="宋体" w:hAnsi="宋体" w:eastAsia="宋体" w:cs="宋体"/>
          <w:b w:val="0"/>
          <w:bCs w:val="0"/>
          <w:color w:val="auto"/>
          <w:sz w:val="21"/>
          <w:szCs w:val="21"/>
          <w:lang w:eastAsia="zh-CN"/>
        </w:rPr>
        <w:t>，待</w:t>
      </w:r>
      <w:r>
        <w:rPr>
          <w:rFonts w:hint="eastAsia" w:ascii="宋体" w:hAnsi="宋体" w:eastAsia="宋体" w:cs="宋体"/>
          <w:b w:val="0"/>
          <w:bCs w:val="0"/>
          <w:color w:val="auto"/>
          <w:sz w:val="21"/>
          <w:szCs w:val="21"/>
        </w:rPr>
        <w:t>核实</w:t>
      </w:r>
      <w:r>
        <w:rPr>
          <w:rFonts w:hint="eastAsia" w:ascii="宋体" w:hAnsi="宋体" w:eastAsia="宋体" w:cs="宋体"/>
          <w:color w:val="auto"/>
          <w:sz w:val="21"/>
          <w:szCs w:val="21"/>
          <w:lang w:val="en-US" w:eastAsia="zh-CN"/>
        </w:rPr>
        <w:t>上报审批后结算费用。</w:t>
      </w:r>
    </w:p>
    <w:p w14:paraId="642B118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kern w:val="0"/>
          <w:sz w:val="21"/>
          <w:szCs w:val="21"/>
          <w:lang w:val="en-GB" w:eastAsia="zh-CN" w:bidi="ar"/>
        </w:rPr>
      </w:pPr>
      <w:r>
        <w:rPr>
          <w:rFonts w:hint="eastAsia" w:ascii="宋体" w:hAnsi="宋体" w:cs="宋体"/>
          <w:b/>
          <w:bCs/>
          <w:color w:val="auto"/>
          <w:kern w:val="0"/>
          <w:sz w:val="21"/>
          <w:szCs w:val="21"/>
          <w:lang w:val="en-US" w:eastAsia="zh-CN" w:bidi="ar"/>
        </w:rPr>
        <w:t>七、</w:t>
      </w:r>
      <w:r>
        <w:rPr>
          <w:rFonts w:hint="eastAsia" w:ascii="宋体" w:hAnsi="宋体" w:eastAsia="宋体" w:cs="宋体"/>
          <w:b/>
          <w:bCs/>
          <w:color w:val="auto"/>
          <w:kern w:val="0"/>
          <w:sz w:val="21"/>
          <w:szCs w:val="21"/>
          <w:lang w:val="en-GB" w:eastAsia="zh-CN" w:bidi="ar"/>
        </w:rPr>
        <w:t>外来人员进出监管区须知</w:t>
      </w:r>
    </w:p>
    <w:p w14:paraId="1ECBD698">
      <w:pPr>
        <w:keepNext w:val="0"/>
        <w:keepLines w:val="0"/>
        <w:pageBreakBefore w:val="0"/>
        <w:kinsoku/>
        <w:wordWrap/>
        <w:overflowPunct/>
        <w:topLinePunct w:val="0"/>
        <w:autoSpaceDE/>
        <w:autoSpaceDN/>
        <w:bidi w:val="0"/>
        <w:adjustRightInd/>
        <w:spacing w:line="400" w:lineRule="exact"/>
        <w:ind w:firstLine="420" w:firstLineChars="200"/>
        <w:rPr>
          <w:rFonts w:hint="default"/>
          <w:b/>
          <w:bCs/>
          <w:color w:val="auto"/>
          <w:sz w:val="21"/>
          <w:szCs w:val="21"/>
          <w:lang w:val="en-US" w:eastAsia="zh-CN"/>
        </w:rPr>
      </w:pPr>
      <w:r>
        <w:rPr>
          <w:rFonts w:hint="eastAsia" w:ascii="宋体" w:hAnsi="宋体" w:cs="宋体"/>
          <w:b w:val="0"/>
          <w:bCs/>
          <w:color w:val="auto"/>
          <w:szCs w:val="21"/>
        </w:rPr>
        <w:t>由于监狱工作的特殊性，</w:t>
      </w:r>
      <w:r>
        <w:rPr>
          <w:rFonts w:hint="eastAsia" w:ascii="宋体" w:hAnsi="宋体" w:cs="宋体"/>
          <w:b w:val="0"/>
          <w:bCs/>
          <w:color w:val="auto"/>
          <w:szCs w:val="21"/>
          <w:lang w:eastAsia="zh-CN"/>
        </w:rPr>
        <w:t>乙方</w:t>
      </w:r>
      <w:r>
        <w:rPr>
          <w:rFonts w:hint="eastAsia" w:ascii="宋体" w:hAnsi="宋体" w:cs="宋体"/>
          <w:b w:val="0"/>
          <w:bCs/>
          <w:color w:val="auto"/>
          <w:szCs w:val="21"/>
        </w:rPr>
        <w:t>人员进入监管区应严格遵守</w:t>
      </w:r>
      <w:r>
        <w:rPr>
          <w:rFonts w:hint="eastAsia" w:ascii="宋体" w:hAnsi="宋体" w:cs="宋体"/>
          <w:b w:val="0"/>
          <w:bCs/>
          <w:color w:val="auto"/>
          <w:szCs w:val="21"/>
          <w:lang w:eastAsia="zh-CN"/>
        </w:rPr>
        <w:t>甲方</w:t>
      </w:r>
      <w:r>
        <w:rPr>
          <w:rFonts w:hint="eastAsia" w:ascii="宋体" w:hAnsi="宋体" w:cs="宋体"/>
          <w:b w:val="0"/>
          <w:bCs/>
          <w:color w:val="auto"/>
          <w:szCs w:val="21"/>
        </w:rPr>
        <w:t>要求及监狱的相关管理规定。</w:t>
      </w:r>
    </w:p>
    <w:p w14:paraId="66E331E9">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Calibri" w:hAnsi="Calibri" w:eastAsia="宋体" w:cs="Times New Roman"/>
          <w:b/>
          <w:bCs/>
          <w:color w:val="auto"/>
          <w:sz w:val="21"/>
          <w:szCs w:val="20"/>
          <w:lang w:val="en-US" w:eastAsia="zh-CN"/>
        </w:rPr>
      </w:pPr>
      <w:r>
        <w:rPr>
          <w:rFonts w:hint="eastAsia" w:ascii="Calibri" w:hAnsi="Calibri" w:eastAsia="宋体" w:cs="Times New Roman"/>
          <w:b/>
          <w:bCs/>
          <w:color w:val="auto"/>
          <w:sz w:val="21"/>
          <w:szCs w:val="20"/>
          <w:lang w:val="en-US" w:eastAsia="zh-CN"/>
        </w:rPr>
        <w:t>八、违约责任与赔偿损失</w:t>
      </w:r>
    </w:p>
    <w:p w14:paraId="2CA66A8D">
      <w:pPr>
        <w:keepNext w:val="0"/>
        <w:keepLines w:val="0"/>
        <w:pageBreakBefore w:val="0"/>
        <w:kinsoku/>
        <w:wordWrap/>
        <w:overflowPunct/>
        <w:topLinePunct w:val="0"/>
        <w:autoSpaceDE/>
        <w:autoSpaceDN/>
        <w:bidi w:val="0"/>
        <w:adjustRightInd/>
        <w:spacing w:line="400" w:lineRule="exact"/>
        <w:ind w:firstLine="420"/>
        <w:jc w:val="left"/>
        <w:textAlignment w:val="auto"/>
        <w:rPr>
          <w:rFonts w:hint="eastAsia" w:ascii="Calibri" w:hAnsi="Calibri" w:eastAsia="宋体" w:cs="Times New Roman"/>
          <w:color w:val="auto"/>
          <w:lang w:val="en-US" w:eastAsia="zh-Hans"/>
        </w:rPr>
      </w:pPr>
      <w:r>
        <w:rPr>
          <w:rFonts w:hint="eastAsia" w:ascii="Calibri" w:hAnsi="Calibri" w:eastAsia="宋体" w:cs="Times New Roman"/>
          <w:color w:val="auto"/>
          <w:sz w:val="21"/>
          <w:lang w:val="en-US" w:eastAsia="zh-Hans"/>
        </w:rPr>
        <w:t>1.乙方提供的服务不符合本合同规定的，甲方有权拒收，并且乙方须向甲方支付本合同总价5%的违约金。</w:t>
      </w:r>
    </w:p>
    <w:p w14:paraId="0F65F049">
      <w:pPr>
        <w:keepNext w:val="0"/>
        <w:keepLines w:val="0"/>
        <w:pageBreakBefore w:val="0"/>
        <w:kinsoku/>
        <w:wordWrap/>
        <w:overflowPunct/>
        <w:topLinePunct w:val="0"/>
        <w:autoSpaceDE/>
        <w:autoSpaceDN/>
        <w:bidi w:val="0"/>
        <w:adjustRightInd/>
        <w:spacing w:line="400" w:lineRule="exact"/>
        <w:ind w:firstLine="420"/>
        <w:jc w:val="left"/>
        <w:textAlignment w:val="auto"/>
        <w:rPr>
          <w:rFonts w:hint="eastAsia" w:ascii="Calibri" w:hAnsi="Calibri" w:eastAsia="宋体" w:cs="Times New Roman"/>
          <w:color w:val="auto"/>
          <w:lang w:val="en-US" w:eastAsia="zh-Hans"/>
        </w:rPr>
      </w:pPr>
      <w:r>
        <w:rPr>
          <w:rFonts w:hint="eastAsia" w:ascii="Calibri" w:hAnsi="Calibri" w:eastAsia="宋体" w:cs="Times New Roman"/>
          <w:color w:val="auto"/>
          <w:sz w:val="21"/>
          <w:lang w:val="en-US" w:eastAsia="zh-Hans"/>
        </w:rPr>
        <w:t>2.乙方未能按本合同规定的时间提供服务，逾期半个月以上的，甲方有权终止合同，由此造成的甲方经济损失由乙方承担。</w:t>
      </w:r>
    </w:p>
    <w:p w14:paraId="637E11E3">
      <w:pPr>
        <w:keepNext w:val="0"/>
        <w:keepLines w:val="0"/>
        <w:pageBreakBefore w:val="0"/>
        <w:kinsoku/>
        <w:wordWrap/>
        <w:overflowPunct/>
        <w:topLinePunct w:val="0"/>
        <w:autoSpaceDE/>
        <w:autoSpaceDN/>
        <w:bidi w:val="0"/>
        <w:adjustRightInd/>
        <w:spacing w:line="400" w:lineRule="exact"/>
        <w:ind w:firstLine="420"/>
        <w:jc w:val="left"/>
        <w:textAlignment w:val="auto"/>
        <w:rPr>
          <w:rFonts w:hint="eastAsia" w:ascii="Calibri" w:hAnsi="Calibri" w:eastAsia="宋体" w:cs="Times New Roman"/>
          <w:color w:val="auto"/>
          <w:lang w:val="en-US" w:eastAsia="zh-Hans"/>
        </w:rPr>
      </w:pPr>
      <w:r>
        <w:rPr>
          <w:rFonts w:hint="eastAsia" w:ascii="Calibri" w:hAnsi="Calibri" w:eastAsia="宋体" w:cs="Times New Roman"/>
          <w:color w:val="auto"/>
          <w:sz w:val="21"/>
          <w:lang w:val="en-US" w:eastAsia="zh-Hans"/>
        </w:rPr>
        <w:t>3.甲方无正当理由拒收接受服务，到期拒付服务款项的，甲方向乙方偿付本合同总</w:t>
      </w:r>
      <w:r>
        <w:rPr>
          <w:rFonts w:hint="eastAsia" w:ascii="Calibri" w:hAnsi="Calibri" w:eastAsia="宋体" w:cs="Times New Roman"/>
          <w:color w:val="auto"/>
          <w:sz w:val="21"/>
          <w:lang w:val="en-US" w:eastAsia="zh-CN"/>
        </w:rPr>
        <w:t>价</w:t>
      </w:r>
      <w:r>
        <w:rPr>
          <w:rFonts w:hint="eastAsia" w:ascii="Calibri" w:hAnsi="Calibri" w:eastAsia="宋体" w:cs="Times New Roman"/>
          <w:color w:val="auto"/>
          <w:sz w:val="21"/>
          <w:lang w:val="en-US" w:eastAsia="zh-Hans"/>
        </w:rPr>
        <w:t>5%的违约金。甲方逾期付款，则每日按本合同总价的3‰向乙方偿付违约金。</w:t>
      </w:r>
    </w:p>
    <w:p w14:paraId="7E6CA876">
      <w:pPr>
        <w:keepNext w:val="0"/>
        <w:keepLines w:val="0"/>
        <w:pageBreakBefore w:val="0"/>
        <w:kinsoku/>
        <w:wordWrap/>
        <w:overflowPunct/>
        <w:topLinePunct w:val="0"/>
        <w:autoSpaceDE/>
        <w:autoSpaceDN/>
        <w:bidi w:val="0"/>
        <w:adjustRightInd/>
        <w:spacing w:line="400" w:lineRule="exact"/>
        <w:ind w:firstLine="420"/>
        <w:jc w:val="left"/>
        <w:textAlignment w:val="auto"/>
        <w:rPr>
          <w:rFonts w:hint="eastAsia" w:ascii="Calibri" w:hAnsi="Calibri" w:eastAsia="宋体" w:cs="Times New Roman"/>
          <w:color w:val="auto"/>
          <w:lang w:val="en-US" w:eastAsia="zh-Hans"/>
        </w:rPr>
      </w:pPr>
      <w:r>
        <w:rPr>
          <w:rFonts w:hint="eastAsia" w:ascii="Calibri" w:hAnsi="Calibri" w:eastAsia="宋体" w:cs="Times New Roman"/>
          <w:color w:val="auto"/>
          <w:sz w:val="21"/>
          <w:lang w:val="en-US" w:eastAsia="zh-Hans"/>
        </w:rPr>
        <w:t>4.对于因甲方原因导致变更、中止或者终止采购合同的，甲方应当依照合同约定对</w:t>
      </w:r>
      <w:r>
        <w:rPr>
          <w:rFonts w:hint="eastAsia" w:ascii="Calibri" w:hAnsi="Calibri" w:eastAsia="宋体" w:cs="Times New Roman"/>
          <w:color w:val="auto"/>
          <w:sz w:val="21"/>
          <w:lang w:val="en-US" w:eastAsia="zh-CN"/>
        </w:rPr>
        <w:t>乙方</w:t>
      </w:r>
      <w:r>
        <w:rPr>
          <w:rFonts w:hint="eastAsia" w:ascii="Calibri" w:hAnsi="Calibri" w:eastAsia="宋体" w:cs="Times New Roman"/>
          <w:color w:val="auto"/>
          <w:sz w:val="21"/>
          <w:lang w:val="en-US" w:eastAsia="zh-Hans"/>
        </w:rPr>
        <w:t>受到的损失予以赔偿或者补偿。</w:t>
      </w:r>
    </w:p>
    <w:p w14:paraId="2EC42090">
      <w:pPr>
        <w:keepNext w:val="0"/>
        <w:keepLines w:val="0"/>
        <w:pageBreakBefore w:val="0"/>
        <w:kinsoku/>
        <w:wordWrap/>
        <w:overflowPunct/>
        <w:topLinePunct w:val="0"/>
        <w:autoSpaceDE/>
        <w:autoSpaceDN/>
        <w:bidi w:val="0"/>
        <w:adjustRightInd/>
        <w:spacing w:line="400" w:lineRule="exact"/>
        <w:ind w:firstLine="420"/>
        <w:jc w:val="left"/>
        <w:textAlignment w:val="auto"/>
        <w:rPr>
          <w:rFonts w:hint="eastAsia" w:ascii="Calibri" w:hAnsi="Calibri" w:eastAsia="宋体" w:cs="Times New Roman"/>
          <w:color w:val="auto"/>
          <w:lang w:val="en-US" w:eastAsia="zh-Hans"/>
        </w:rPr>
      </w:pPr>
      <w:r>
        <w:rPr>
          <w:rFonts w:hint="eastAsia" w:ascii="Calibri" w:hAnsi="Calibri" w:eastAsia="宋体" w:cs="Times New Roman"/>
          <w:color w:val="auto"/>
          <w:sz w:val="21"/>
          <w:lang w:val="en-US" w:eastAsia="zh-Hans"/>
        </w:rPr>
        <w:t>5.任一方违约，违约方需承担守约方追究违约责任产生的律师费、诉讼费、调查取证费用、保函费、保全费等有关费用。</w:t>
      </w:r>
    </w:p>
    <w:p w14:paraId="085CABBF">
      <w:pPr>
        <w:keepNext w:val="0"/>
        <w:keepLines w:val="0"/>
        <w:pageBreakBefore w:val="0"/>
        <w:kinsoku/>
        <w:wordWrap/>
        <w:overflowPunct/>
        <w:topLinePunct w:val="0"/>
        <w:autoSpaceDE/>
        <w:autoSpaceDN/>
        <w:bidi w:val="0"/>
        <w:adjustRightInd/>
        <w:spacing w:line="400" w:lineRule="exact"/>
        <w:ind w:firstLine="420"/>
        <w:jc w:val="left"/>
        <w:textAlignment w:val="auto"/>
        <w:rPr>
          <w:rFonts w:hint="eastAsia" w:ascii="Calibri" w:hAnsi="Calibri" w:eastAsia="宋体" w:cs="Times New Roman"/>
          <w:color w:val="auto"/>
          <w:lang w:val="en-US" w:eastAsia="zh-Hans"/>
        </w:rPr>
      </w:pPr>
      <w:r>
        <w:rPr>
          <w:rFonts w:hint="eastAsia" w:ascii="Calibri" w:hAnsi="Calibri" w:eastAsia="宋体" w:cs="Times New Roman"/>
          <w:color w:val="auto"/>
          <w:sz w:val="21"/>
          <w:lang w:val="en-US" w:eastAsia="zh-Hans"/>
        </w:rPr>
        <w:t>6.其它违约责任按《中华人民共和国民法典》处理。</w:t>
      </w:r>
    </w:p>
    <w:p w14:paraId="5491C9E7">
      <w:pPr>
        <w:keepNext w:val="0"/>
        <w:keepLines w:val="0"/>
        <w:pageBreakBefore w:val="0"/>
        <w:kinsoku/>
        <w:wordWrap/>
        <w:overflowPunct/>
        <w:topLinePunct w:val="0"/>
        <w:autoSpaceDE/>
        <w:autoSpaceDN/>
        <w:bidi w:val="0"/>
        <w:adjustRightInd/>
        <w:snapToGrid w:val="0"/>
        <w:spacing w:line="400" w:lineRule="exact"/>
        <w:textAlignment w:val="auto"/>
        <w:rPr>
          <w:rFonts w:ascii="宋体" w:hAnsi="宋体" w:cs="宋体"/>
          <w:b/>
          <w:color w:val="auto"/>
          <w:szCs w:val="21"/>
        </w:rPr>
      </w:pPr>
      <w:r>
        <w:rPr>
          <w:rFonts w:hint="eastAsia" w:ascii="宋体" w:hAnsi="宋体" w:cs="宋体"/>
          <w:b/>
          <w:color w:val="auto"/>
          <w:szCs w:val="21"/>
          <w:lang w:val="en-US" w:eastAsia="zh-CN"/>
        </w:rPr>
        <w:t>九、</w:t>
      </w:r>
      <w:r>
        <w:rPr>
          <w:rFonts w:hint="eastAsia" w:ascii="宋体" w:hAnsi="宋体" w:cs="宋体"/>
          <w:b/>
          <w:color w:val="auto"/>
          <w:szCs w:val="21"/>
        </w:rPr>
        <w:t>争端的解决</w:t>
      </w:r>
    </w:p>
    <w:p w14:paraId="6D90791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合同执行过程中发生的任何争议，通过友好协商解决。如双方不能通过友好协商解决，任何一方均可向甲方所在地人民法院提起诉讼。</w:t>
      </w:r>
    </w:p>
    <w:p w14:paraId="02388B7D">
      <w:pPr>
        <w:keepNext w:val="0"/>
        <w:keepLines w:val="0"/>
        <w:pageBreakBefore w:val="0"/>
        <w:kinsoku/>
        <w:wordWrap/>
        <w:overflowPunct/>
        <w:topLinePunct w:val="0"/>
        <w:autoSpaceDE/>
        <w:autoSpaceDN/>
        <w:bidi w:val="0"/>
        <w:adjustRightInd/>
        <w:snapToGrid w:val="0"/>
        <w:spacing w:line="400" w:lineRule="exact"/>
        <w:textAlignment w:val="auto"/>
        <w:rPr>
          <w:rFonts w:ascii="宋体" w:hAnsi="宋体" w:cs="宋体"/>
          <w:b/>
          <w:color w:val="auto"/>
          <w:szCs w:val="21"/>
        </w:rPr>
      </w:pPr>
      <w:r>
        <w:rPr>
          <w:rFonts w:hint="eastAsia" w:ascii="宋体" w:hAnsi="宋体" w:cs="宋体"/>
          <w:b/>
          <w:color w:val="auto"/>
          <w:szCs w:val="21"/>
          <w:lang w:val="en-US" w:eastAsia="zh-CN"/>
        </w:rPr>
        <w:t>十</w:t>
      </w:r>
      <w:r>
        <w:rPr>
          <w:rFonts w:hint="eastAsia" w:ascii="宋体" w:hAnsi="宋体" w:cs="宋体"/>
          <w:b/>
          <w:color w:val="auto"/>
          <w:szCs w:val="21"/>
        </w:rPr>
        <w:t>、不可抗力</w:t>
      </w:r>
    </w:p>
    <w:p w14:paraId="63394353">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EB366D3">
      <w:pPr>
        <w:keepNext w:val="0"/>
        <w:keepLines w:val="0"/>
        <w:pageBreakBefore w:val="0"/>
        <w:kinsoku/>
        <w:wordWrap/>
        <w:overflowPunct/>
        <w:topLinePunct w:val="0"/>
        <w:autoSpaceDE/>
        <w:autoSpaceDN/>
        <w:bidi w:val="0"/>
        <w:adjustRightInd/>
        <w:snapToGrid w:val="0"/>
        <w:spacing w:line="400" w:lineRule="exact"/>
        <w:textAlignment w:val="auto"/>
        <w:rPr>
          <w:rFonts w:ascii="宋体" w:hAnsi="宋体" w:cs="宋体"/>
          <w:b/>
          <w:color w:val="auto"/>
          <w:szCs w:val="21"/>
        </w:rPr>
      </w:pPr>
      <w:r>
        <w:rPr>
          <w:rFonts w:hint="eastAsia" w:ascii="宋体" w:hAnsi="宋体" w:cs="宋体"/>
          <w:b/>
          <w:color w:val="auto"/>
          <w:szCs w:val="21"/>
        </w:rPr>
        <w:t>十</w:t>
      </w:r>
      <w:r>
        <w:rPr>
          <w:rFonts w:hint="eastAsia" w:ascii="宋体" w:hAnsi="宋体" w:cs="宋体"/>
          <w:b/>
          <w:color w:val="auto"/>
          <w:szCs w:val="21"/>
          <w:lang w:val="en-US" w:eastAsia="zh-CN"/>
        </w:rPr>
        <w:t>一</w:t>
      </w:r>
      <w:r>
        <w:rPr>
          <w:rFonts w:hint="eastAsia" w:ascii="宋体" w:hAnsi="宋体" w:cs="宋体"/>
          <w:b/>
          <w:color w:val="auto"/>
          <w:szCs w:val="21"/>
        </w:rPr>
        <w:t>、税费</w:t>
      </w:r>
    </w:p>
    <w:p w14:paraId="5DB631E6">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在中国境内、外发生的与本合同执行有关的一切税费均由乙方负担。</w:t>
      </w:r>
    </w:p>
    <w:p w14:paraId="7E764645">
      <w:pPr>
        <w:keepNext w:val="0"/>
        <w:keepLines w:val="0"/>
        <w:pageBreakBefore w:val="0"/>
        <w:kinsoku/>
        <w:wordWrap/>
        <w:overflowPunct/>
        <w:topLinePunct w:val="0"/>
        <w:autoSpaceDE/>
        <w:autoSpaceDN/>
        <w:bidi w:val="0"/>
        <w:adjustRightInd/>
        <w:snapToGrid w:val="0"/>
        <w:spacing w:line="400" w:lineRule="exact"/>
        <w:textAlignment w:val="auto"/>
        <w:rPr>
          <w:rFonts w:ascii="宋体" w:hAnsi="宋体" w:cs="宋体"/>
          <w:b/>
          <w:color w:val="auto"/>
          <w:szCs w:val="21"/>
        </w:rPr>
      </w:pPr>
      <w:r>
        <w:rPr>
          <w:rFonts w:hint="eastAsia" w:ascii="宋体" w:hAnsi="宋体" w:cs="宋体"/>
          <w:b/>
          <w:color w:val="auto"/>
          <w:szCs w:val="21"/>
          <w:lang w:val="en-US" w:eastAsia="zh-CN"/>
        </w:rPr>
        <w:t>十二</w:t>
      </w:r>
      <w:r>
        <w:rPr>
          <w:rFonts w:hint="eastAsia" w:ascii="宋体" w:hAnsi="宋体" w:cs="宋体"/>
          <w:b/>
          <w:color w:val="auto"/>
          <w:szCs w:val="21"/>
        </w:rPr>
        <w:t>、其它</w:t>
      </w:r>
    </w:p>
    <w:p w14:paraId="56852D1E">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b/>
          <w:color w:val="auto"/>
          <w:szCs w:val="21"/>
        </w:rPr>
      </w:pPr>
      <w:r>
        <w:rPr>
          <w:rFonts w:hint="eastAsia" w:ascii="宋体" w:hAnsi="宋体" w:cs="宋体"/>
          <w:color w:val="auto"/>
          <w:szCs w:val="21"/>
        </w:rPr>
        <w:t>1、本合同所有附件、采购文件、响应文件、成交通知书均为合同的有效组成部分，与本合同具有同等法律效力。</w:t>
      </w:r>
    </w:p>
    <w:p w14:paraId="6099DF91">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Cs w:val="21"/>
        </w:rPr>
      </w:pPr>
      <w:r>
        <w:rPr>
          <w:rFonts w:hint="eastAsia" w:ascii="宋体" w:hAnsi="宋体" w:cs="宋体"/>
          <w:bCs/>
          <w:color w:val="auto"/>
          <w:szCs w:val="21"/>
        </w:rPr>
        <w:t>2、</w:t>
      </w:r>
      <w:r>
        <w:rPr>
          <w:rFonts w:hint="eastAsia" w:ascii="宋体" w:hAnsi="宋体" w:cs="宋体"/>
          <w:color w:val="auto"/>
          <w:szCs w:val="21"/>
        </w:rPr>
        <w:t>在执行本合同的过程中，所有经双方签署确认的文件（包括会议纪要、补充协议、往来信函）即成为本合同的有效组成部分。</w:t>
      </w:r>
    </w:p>
    <w:p w14:paraId="52B6F8A8">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 xml:space="preserve">3、如一方地址、电话、传真号码有变更，应在变更当日内书面通知对方，否则，应承担相应责任。 </w:t>
      </w:r>
    </w:p>
    <w:p w14:paraId="578848D8">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4、除甲方事先书面同意外，乙方不得部分或全部转让其应履行的合同项下的义务。</w:t>
      </w:r>
    </w:p>
    <w:p w14:paraId="75DD10EE">
      <w:pPr>
        <w:keepNext w:val="0"/>
        <w:keepLines w:val="0"/>
        <w:pageBreakBefore w:val="0"/>
        <w:kinsoku/>
        <w:wordWrap/>
        <w:overflowPunct/>
        <w:topLinePunct w:val="0"/>
        <w:autoSpaceDE/>
        <w:autoSpaceDN/>
        <w:bidi w:val="0"/>
        <w:adjustRightInd/>
        <w:snapToGrid w:val="0"/>
        <w:spacing w:line="400" w:lineRule="exact"/>
        <w:textAlignment w:val="auto"/>
        <w:rPr>
          <w:rFonts w:ascii="宋体" w:hAnsi="宋体" w:cs="宋体"/>
          <w:b/>
          <w:color w:val="auto"/>
          <w:szCs w:val="21"/>
        </w:rPr>
      </w:pPr>
      <w:r>
        <w:rPr>
          <w:rFonts w:hint="eastAsia" w:ascii="宋体" w:hAnsi="宋体" w:cs="宋体"/>
          <w:b/>
          <w:color w:val="auto"/>
          <w:szCs w:val="21"/>
          <w:lang w:val="en-US" w:eastAsia="zh-CN"/>
        </w:rPr>
        <w:t>十三</w:t>
      </w:r>
      <w:r>
        <w:rPr>
          <w:rFonts w:hint="eastAsia" w:ascii="宋体" w:hAnsi="宋体" w:cs="宋体"/>
          <w:b/>
          <w:color w:val="auto"/>
          <w:szCs w:val="21"/>
        </w:rPr>
        <w:t>、合同生效：</w:t>
      </w:r>
    </w:p>
    <w:p w14:paraId="09130ED9">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1、本合同在甲乙双方法人代表或其授权代表签名盖章后生效。</w:t>
      </w:r>
    </w:p>
    <w:p w14:paraId="1336639C">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cs="宋体"/>
          <w:b/>
          <w:color w:val="auto"/>
          <w:szCs w:val="21"/>
        </w:rPr>
      </w:pPr>
      <w:r>
        <w:rPr>
          <w:rFonts w:hint="eastAsia" w:ascii="宋体" w:hAnsi="宋体" w:cs="宋体"/>
          <w:color w:val="auto"/>
          <w:szCs w:val="21"/>
        </w:rPr>
        <w:t>2、合同一式</w:t>
      </w:r>
      <w:r>
        <w:rPr>
          <w:rFonts w:hint="eastAsia" w:ascii="宋体" w:hAnsi="宋体" w:cs="宋体"/>
          <w:color w:val="auto"/>
          <w:szCs w:val="21"/>
          <w:u w:val="single"/>
        </w:rPr>
        <w:t xml:space="preserve">    </w:t>
      </w:r>
      <w:r>
        <w:rPr>
          <w:rFonts w:hint="eastAsia" w:ascii="宋体" w:hAnsi="宋体" w:cs="宋体"/>
          <w:color w:val="auto"/>
          <w:szCs w:val="21"/>
        </w:rPr>
        <w:t>份，甲方执</w:t>
      </w:r>
      <w:r>
        <w:rPr>
          <w:rFonts w:hint="eastAsia" w:ascii="宋体" w:hAnsi="宋体" w:cs="宋体"/>
          <w:color w:val="auto"/>
          <w:szCs w:val="21"/>
          <w:u w:val="single"/>
        </w:rPr>
        <w:t xml:space="preserve">    </w:t>
      </w:r>
      <w:r>
        <w:rPr>
          <w:rFonts w:hint="eastAsia" w:ascii="宋体" w:hAnsi="宋体" w:cs="宋体"/>
          <w:color w:val="auto"/>
          <w:szCs w:val="21"/>
        </w:rPr>
        <w:t>份，</w:t>
      </w:r>
      <w:r>
        <w:rPr>
          <w:rFonts w:hint="eastAsia" w:ascii="宋体" w:hAnsi="宋体" w:cs="宋体"/>
          <w:color w:val="auto"/>
          <w:szCs w:val="21"/>
          <w:lang w:val="en-US" w:eastAsia="zh-CN"/>
        </w:rPr>
        <w:t>乙</w:t>
      </w:r>
      <w:r>
        <w:rPr>
          <w:rFonts w:hint="eastAsia" w:ascii="宋体" w:hAnsi="宋体" w:cs="宋体"/>
          <w:color w:val="auto"/>
          <w:szCs w:val="21"/>
        </w:rPr>
        <w:t>方执</w:t>
      </w:r>
      <w:r>
        <w:rPr>
          <w:rFonts w:hint="eastAsia" w:ascii="宋体" w:hAnsi="宋体" w:cs="宋体"/>
          <w:color w:val="auto"/>
          <w:szCs w:val="21"/>
          <w:u w:val="single"/>
        </w:rPr>
        <w:t xml:space="preserve">    </w:t>
      </w:r>
      <w:r>
        <w:rPr>
          <w:rFonts w:hint="eastAsia" w:ascii="宋体" w:hAnsi="宋体" w:cs="宋体"/>
          <w:color w:val="auto"/>
          <w:szCs w:val="21"/>
        </w:rPr>
        <w:t>份，均具有相同效力。</w:t>
      </w:r>
    </w:p>
    <w:p w14:paraId="1538D04C">
      <w:pPr>
        <w:spacing w:line="440" w:lineRule="exact"/>
        <w:rPr>
          <w:rFonts w:hint="eastAsia" w:ascii="宋体" w:hAnsi="宋体" w:cs="宋体"/>
          <w:b/>
          <w:color w:val="auto"/>
          <w:szCs w:val="21"/>
        </w:rPr>
      </w:pPr>
    </w:p>
    <w:p w14:paraId="24E852FC">
      <w:pPr>
        <w:spacing w:line="440" w:lineRule="exact"/>
        <w:rPr>
          <w:rFonts w:ascii="宋体" w:hAnsi="宋体" w:cs="宋体"/>
          <w:b/>
          <w:color w:val="auto"/>
          <w:szCs w:val="21"/>
        </w:rPr>
      </w:pPr>
      <w:r>
        <w:rPr>
          <w:rFonts w:hint="eastAsia" w:ascii="宋体" w:hAnsi="宋体" w:cs="宋体"/>
          <w:b/>
          <w:color w:val="auto"/>
          <w:szCs w:val="21"/>
        </w:rPr>
        <w:t>甲方（盖章）：                                乙方（盖章）：</w:t>
      </w:r>
    </w:p>
    <w:p w14:paraId="1C05F89C">
      <w:pPr>
        <w:spacing w:line="440" w:lineRule="exact"/>
        <w:rPr>
          <w:rFonts w:hint="eastAsia" w:ascii="宋体" w:hAnsi="宋体" w:cs="宋体"/>
          <w:b w:val="0"/>
          <w:bCs/>
          <w:color w:val="auto"/>
          <w:szCs w:val="21"/>
        </w:rPr>
      </w:pPr>
      <w:r>
        <w:rPr>
          <w:rFonts w:hint="eastAsia" w:ascii="宋体" w:hAnsi="宋体" w:cs="宋体"/>
          <w:b w:val="0"/>
          <w:bCs/>
          <w:color w:val="auto"/>
          <w:szCs w:val="21"/>
        </w:rPr>
        <w:t xml:space="preserve">法人（或授权）代表：                  </w:t>
      </w:r>
      <w:r>
        <w:rPr>
          <w:rFonts w:hint="eastAsia" w:ascii="宋体" w:hAnsi="宋体" w:cs="宋体"/>
          <w:b w:val="0"/>
          <w:bCs/>
          <w:color w:val="auto"/>
          <w:szCs w:val="21"/>
          <w:lang w:val="en-US" w:eastAsia="zh-CN"/>
        </w:rPr>
        <w:t xml:space="preserve">        </w:t>
      </w:r>
      <w:r>
        <w:rPr>
          <w:rFonts w:hint="eastAsia" w:ascii="宋体" w:hAnsi="宋体" w:cs="宋体"/>
          <w:b w:val="0"/>
          <w:bCs/>
          <w:color w:val="auto"/>
          <w:szCs w:val="21"/>
        </w:rPr>
        <w:t>法人（或授权）代表：</w:t>
      </w:r>
    </w:p>
    <w:p w14:paraId="213C47FF">
      <w:pPr>
        <w:spacing w:line="440" w:lineRule="exact"/>
        <w:rPr>
          <w:rFonts w:ascii="宋体" w:hAnsi="宋体" w:cs="宋体"/>
          <w:color w:val="auto"/>
          <w:szCs w:val="21"/>
        </w:rPr>
      </w:pPr>
      <w:r>
        <w:rPr>
          <w:rFonts w:hint="eastAsia" w:ascii="宋体" w:hAnsi="宋体" w:cs="宋体"/>
          <w:color w:val="auto"/>
          <w:szCs w:val="21"/>
        </w:rPr>
        <w:t xml:space="preserve">签定日期：        年     月    日             签定日期：        年     月     日    </w:t>
      </w:r>
    </w:p>
    <w:p w14:paraId="7BC572BB">
      <w:pPr>
        <w:spacing w:line="440" w:lineRule="exact"/>
        <w:ind w:firstLine="4830"/>
        <w:rPr>
          <w:rFonts w:ascii="宋体" w:hAnsi="宋体" w:cs="宋体"/>
          <w:color w:val="auto"/>
          <w:szCs w:val="21"/>
        </w:rPr>
      </w:pPr>
      <w:r>
        <w:rPr>
          <w:rFonts w:hint="eastAsia" w:ascii="宋体" w:hAnsi="宋体" w:cs="宋体"/>
          <w:color w:val="auto"/>
          <w:szCs w:val="21"/>
        </w:rPr>
        <w:t>开户名称：</w:t>
      </w:r>
    </w:p>
    <w:p w14:paraId="4940D06A">
      <w:pPr>
        <w:spacing w:line="440" w:lineRule="exact"/>
        <w:ind w:firstLine="4830"/>
        <w:rPr>
          <w:rFonts w:ascii="宋体" w:hAnsi="宋体" w:cs="宋体"/>
          <w:color w:val="auto"/>
          <w:szCs w:val="21"/>
        </w:rPr>
      </w:pPr>
      <w:r>
        <w:rPr>
          <w:rFonts w:hint="eastAsia" w:ascii="宋体" w:hAnsi="宋体" w:cs="宋体"/>
          <w:color w:val="auto"/>
          <w:szCs w:val="21"/>
        </w:rPr>
        <w:t>银行账号：</w:t>
      </w:r>
    </w:p>
    <w:p w14:paraId="1A69975C">
      <w:pPr>
        <w:spacing w:line="440" w:lineRule="exact"/>
        <w:ind w:firstLine="4830"/>
        <w:rPr>
          <w:color w:val="auto"/>
          <w:sz w:val="28"/>
          <w:szCs w:val="28"/>
        </w:rPr>
      </w:pPr>
      <w:r>
        <w:rPr>
          <w:rFonts w:hint="eastAsia" w:ascii="宋体" w:hAnsi="宋体" w:cs="宋体"/>
          <w:color w:val="auto"/>
          <w:szCs w:val="21"/>
        </w:rPr>
        <w:t>开 户 行：</w:t>
      </w:r>
    </w:p>
    <w:p w14:paraId="74206BD7">
      <w:pPr>
        <w:rPr>
          <w:b/>
          <w:bCs/>
          <w:color w:val="auto"/>
          <w:sz w:val="28"/>
          <w:szCs w:val="28"/>
        </w:rPr>
      </w:pPr>
      <w:r>
        <w:rPr>
          <w:b/>
          <w:bCs/>
          <w:color w:val="auto"/>
          <w:sz w:val="28"/>
          <w:szCs w:val="28"/>
        </w:rPr>
        <w:br w:type="page"/>
      </w:r>
    </w:p>
    <w:p w14:paraId="13F8611E">
      <w:pPr>
        <w:pStyle w:val="2"/>
        <w:jc w:val="center"/>
        <w:rPr>
          <w:rFonts w:ascii="宋体" w:hAnsi="宋体" w:cs="宋体"/>
          <w:color w:val="auto"/>
          <w:szCs w:val="36"/>
        </w:rPr>
      </w:pPr>
      <w:bookmarkStart w:id="381" w:name="_Toc5164"/>
      <w:r>
        <w:rPr>
          <w:rFonts w:hint="eastAsia" w:ascii="宋体" w:hAnsi="宋体" w:cs="宋体"/>
          <w:color w:val="auto"/>
          <w:szCs w:val="36"/>
        </w:rPr>
        <w:t>第六章</w:t>
      </w:r>
      <w:bookmarkStart w:id="382" w:name="_Toc10525535"/>
      <w:r>
        <w:rPr>
          <w:rFonts w:hint="eastAsia" w:ascii="宋体" w:hAnsi="宋体" w:cs="宋体"/>
          <w:color w:val="auto"/>
          <w:szCs w:val="36"/>
        </w:rPr>
        <w:t xml:space="preserve"> </w:t>
      </w:r>
      <w:bookmarkEnd w:id="382"/>
      <w:r>
        <w:rPr>
          <w:rFonts w:hint="eastAsia" w:ascii="宋体" w:hAnsi="宋体" w:cs="宋体"/>
          <w:color w:val="auto"/>
          <w:szCs w:val="36"/>
        </w:rPr>
        <w:t>响应文件格式</w:t>
      </w:r>
      <w:bookmarkEnd w:id="381"/>
    </w:p>
    <w:p w14:paraId="49425490">
      <w:pPr>
        <w:pStyle w:val="24"/>
        <w:rPr>
          <w:rFonts w:hAnsi="宋体" w:cs="宋体"/>
          <w:bCs/>
          <w:color w:val="auto"/>
        </w:rPr>
      </w:pPr>
      <w:bookmarkStart w:id="383" w:name="_Toc2840367"/>
      <w:bookmarkStart w:id="384" w:name="_Toc234746277"/>
      <w:bookmarkStart w:id="385" w:name="_Toc231010434"/>
      <w:bookmarkStart w:id="386" w:name="_Toc24877731"/>
      <w:bookmarkStart w:id="387" w:name="_Toc24702364"/>
    </w:p>
    <w:p w14:paraId="3DD6DF30">
      <w:pPr>
        <w:spacing w:line="360" w:lineRule="auto"/>
        <w:jc w:val="left"/>
        <w:rPr>
          <w:rFonts w:ascii="宋体" w:hAnsi="宋体" w:cs="宋体"/>
          <w:b/>
          <w:bCs/>
          <w:color w:val="auto"/>
          <w:sz w:val="28"/>
          <w:szCs w:val="28"/>
        </w:rPr>
      </w:pPr>
      <w:r>
        <w:rPr>
          <w:rFonts w:hint="eastAsia" w:ascii="宋体" w:hAnsi="宋体" w:cs="宋体"/>
          <w:b/>
          <w:bCs/>
          <w:color w:val="auto"/>
          <w:sz w:val="28"/>
          <w:szCs w:val="28"/>
        </w:rPr>
        <w:t>温馨提示：</w:t>
      </w:r>
    </w:p>
    <w:p w14:paraId="3EF34809">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auto"/>
        <w:ind w:left="210" w:leftChars="100" w:firstLine="420" w:firstLineChars="200"/>
        <w:textAlignment w:val="auto"/>
        <w:rPr>
          <w:rFonts w:hint="eastAsia" w:hAnsi="宋体" w:cs="宋体"/>
          <w:color w:val="auto"/>
          <w:kern w:val="0"/>
          <w:szCs w:val="21"/>
        </w:rPr>
      </w:pPr>
      <w:r>
        <w:rPr>
          <w:rFonts w:hint="eastAsia" w:ascii="宋体" w:hAnsi="宋体" w:eastAsia="宋体" w:cs="宋体"/>
          <w:color w:val="auto"/>
          <w:kern w:val="0"/>
          <w:sz w:val="21"/>
          <w:szCs w:val="21"/>
          <w:lang w:val="en-US" w:eastAsia="zh-CN" w:bidi="ar-SA"/>
        </w:rPr>
        <w:t>1.</w:t>
      </w:r>
      <w:r>
        <w:rPr>
          <w:rFonts w:hint="eastAsia" w:hAnsi="宋体" w:cs="宋体"/>
          <w:color w:val="auto"/>
          <w:kern w:val="0"/>
          <w:szCs w:val="21"/>
        </w:rPr>
        <w:t>本部分仅供参考；</w:t>
      </w:r>
    </w:p>
    <w:p w14:paraId="76A9F589">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auto"/>
        <w:ind w:left="210" w:leftChars="100" w:firstLine="420" w:firstLineChars="200"/>
        <w:textAlignment w:val="auto"/>
        <w:rPr>
          <w:rFonts w:hint="eastAsia" w:hAnsi="宋体" w:cs="宋体"/>
          <w:color w:val="auto"/>
          <w:kern w:val="0"/>
        </w:rPr>
      </w:pPr>
      <w:r>
        <w:rPr>
          <w:rFonts w:hint="eastAsia" w:ascii="宋体" w:hAnsi="宋体" w:eastAsia="宋体" w:cs="宋体"/>
          <w:color w:val="auto"/>
          <w:kern w:val="0"/>
          <w:sz w:val="21"/>
          <w:szCs w:val="22"/>
          <w:lang w:val="en-US" w:eastAsia="zh-CN" w:bidi="ar-SA"/>
        </w:rPr>
        <w:t>2.</w:t>
      </w:r>
      <w:r>
        <w:rPr>
          <w:rFonts w:hint="eastAsia" w:hAnsi="宋体" w:cs="宋体"/>
          <w:color w:val="auto"/>
          <w:kern w:val="0"/>
          <w:lang w:eastAsia="zh-CN"/>
        </w:rPr>
        <w:t>响应文件</w:t>
      </w:r>
      <w:r>
        <w:rPr>
          <w:rFonts w:hint="eastAsia" w:hAnsi="宋体" w:cs="宋体"/>
          <w:color w:val="auto"/>
          <w:kern w:val="0"/>
        </w:rPr>
        <w:t>须编页码，且页码必须连续；</w:t>
      </w:r>
    </w:p>
    <w:p w14:paraId="35A46CD2">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auto"/>
        <w:ind w:left="210" w:leftChars="100" w:firstLine="420" w:firstLineChars="200"/>
        <w:textAlignment w:val="auto"/>
        <w:rPr>
          <w:rFonts w:hint="eastAsia" w:hAnsi="宋体" w:cs="宋体"/>
          <w:color w:val="auto"/>
          <w:kern w:val="0"/>
        </w:rPr>
      </w:pPr>
      <w:r>
        <w:rPr>
          <w:rFonts w:hint="eastAsia" w:hAnsi="宋体" w:cs="宋体"/>
          <w:color w:val="auto"/>
          <w:kern w:val="0"/>
          <w:lang w:val="en-US" w:eastAsia="zh-CN"/>
        </w:rPr>
        <w:t>3.</w:t>
      </w:r>
      <w:r>
        <w:rPr>
          <w:rFonts w:hint="eastAsia" w:hAnsi="宋体" w:cs="宋体"/>
          <w:color w:val="auto"/>
          <w:kern w:val="0"/>
          <w:lang w:eastAsia="zh-CN"/>
        </w:rPr>
        <w:t>供应商</w:t>
      </w:r>
      <w:r>
        <w:rPr>
          <w:rFonts w:hint="eastAsia" w:hAnsi="宋体" w:cs="宋体"/>
          <w:color w:val="auto"/>
          <w:kern w:val="0"/>
        </w:rPr>
        <w:t>应自行承担所提供的</w:t>
      </w:r>
      <w:r>
        <w:rPr>
          <w:rFonts w:hint="eastAsia" w:hAnsi="宋体" w:cs="宋体"/>
          <w:color w:val="auto"/>
          <w:kern w:val="0"/>
          <w:lang w:eastAsia="zh-CN"/>
        </w:rPr>
        <w:t>响应文件</w:t>
      </w:r>
      <w:r>
        <w:rPr>
          <w:rFonts w:hint="eastAsia" w:hAnsi="宋体" w:cs="宋体"/>
          <w:color w:val="auto"/>
          <w:kern w:val="0"/>
        </w:rPr>
        <w:t>任何错漏而导致的一切后果；</w:t>
      </w:r>
    </w:p>
    <w:p w14:paraId="3AFC42C3">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auto"/>
        <w:ind w:left="210" w:leftChars="100" w:firstLine="420" w:firstLineChars="200"/>
        <w:textAlignment w:val="auto"/>
        <w:rPr>
          <w:rFonts w:hint="eastAsia" w:hAnsi="宋体" w:cs="宋体"/>
          <w:color w:val="auto"/>
          <w:kern w:val="0"/>
        </w:rPr>
      </w:pPr>
      <w:r>
        <w:rPr>
          <w:rFonts w:hint="eastAsia" w:hAnsi="宋体" w:cs="宋体"/>
          <w:color w:val="auto"/>
          <w:kern w:val="0"/>
          <w:lang w:val="en-US" w:eastAsia="zh-CN"/>
        </w:rPr>
        <w:t>4.</w:t>
      </w:r>
      <w:r>
        <w:rPr>
          <w:rFonts w:hint="eastAsia" w:hAnsi="宋体" w:cs="宋体"/>
          <w:color w:val="auto"/>
          <w:kern w:val="0"/>
          <w:lang w:eastAsia="zh-CN"/>
        </w:rPr>
        <w:t>响应文件</w:t>
      </w:r>
      <w:r>
        <w:rPr>
          <w:rFonts w:hint="eastAsia" w:hAnsi="宋体" w:cs="宋体"/>
          <w:color w:val="auto"/>
          <w:kern w:val="0"/>
        </w:rPr>
        <w:t>编制一式三套，正本一套，副本两套，并装订成册，</w:t>
      </w:r>
      <w:r>
        <w:rPr>
          <w:rFonts w:hint="eastAsia" w:hAnsi="宋体" w:cs="宋体"/>
          <w:color w:val="auto"/>
          <w:kern w:val="0"/>
          <w:lang w:val="en-US" w:eastAsia="zh-CN"/>
        </w:rPr>
        <w:t>与电子文档一起</w:t>
      </w:r>
      <w:r>
        <w:rPr>
          <w:rFonts w:hint="eastAsia" w:hAnsi="宋体" w:cs="宋体"/>
          <w:color w:val="auto"/>
          <w:kern w:val="0"/>
        </w:rPr>
        <w:t>密封封装为</w:t>
      </w:r>
      <w:r>
        <w:rPr>
          <w:rFonts w:hint="eastAsia" w:hAnsi="宋体" w:cs="宋体"/>
          <w:color w:val="auto"/>
          <w:kern w:val="0"/>
          <w:lang w:val="en-US" w:eastAsia="zh-CN"/>
        </w:rPr>
        <w:t>一</w:t>
      </w:r>
      <w:r>
        <w:rPr>
          <w:rFonts w:hint="eastAsia" w:hAnsi="宋体" w:cs="宋体"/>
          <w:color w:val="auto"/>
          <w:kern w:val="0"/>
        </w:rPr>
        <w:t>份。</w:t>
      </w:r>
    </w:p>
    <w:p w14:paraId="573AAD9D">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auto"/>
        <w:ind w:left="210" w:leftChars="100" w:firstLine="420" w:firstLineChars="200"/>
        <w:textAlignment w:val="auto"/>
        <w:rPr>
          <w:rFonts w:hint="eastAsia" w:hAnsi="宋体" w:cs="宋体"/>
          <w:color w:val="auto"/>
          <w:kern w:val="0"/>
        </w:rPr>
      </w:pPr>
      <w:r>
        <w:rPr>
          <w:rFonts w:hint="eastAsia" w:hAnsi="宋体" w:cs="宋体"/>
          <w:color w:val="auto"/>
          <w:kern w:val="0"/>
          <w:lang w:val="en-US" w:eastAsia="zh-CN"/>
        </w:rPr>
        <w:t>5.</w:t>
      </w:r>
      <w:r>
        <w:rPr>
          <w:rFonts w:hint="eastAsia" w:hAnsi="宋体" w:cs="宋体"/>
          <w:color w:val="auto"/>
          <w:kern w:val="0"/>
          <w:lang w:eastAsia="zh-CN"/>
        </w:rPr>
        <w:t>响应文件</w:t>
      </w:r>
      <w:r>
        <w:rPr>
          <w:rFonts w:hint="eastAsia" w:hAnsi="宋体" w:cs="宋体"/>
          <w:color w:val="auto"/>
          <w:kern w:val="0"/>
        </w:rPr>
        <w:t>全部用A4规格打印。</w:t>
      </w:r>
    </w:p>
    <w:p w14:paraId="4D74AED9">
      <w:pPr>
        <w:pStyle w:val="24"/>
        <w:keepNext w:val="0"/>
        <w:keepLines w:val="0"/>
        <w:pageBreakBefore w:val="0"/>
        <w:widowControl w:val="0"/>
        <w:numPr>
          <w:ilvl w:val="0"/>
          <w:numId w:val="0"/>
        </w:numPr>
        <w:kinsoku/>
        <w:wordWrap/>
        <w:overflowPunct/>
        <w:topLinePunct w:val="0"/>
        <w:autoSpaceDE/>
        <w:autoSpaceDN/>
        <w:bidi w:val="0"/>
        <w:adjustRightInd/>
        <w:snapToGrid/>
        <w:spacing w:line="480" w:lineRule="auto"/>
        <w:ind w:left="210" w:leftChars="100" w:firstLine="420" w:firstLineChars="200"/>
        <w:textAlignment w:val="auto"/>
        <w:rPr>
          <w:rFonts w:hint="eastAsia" w:hAnsi="宋体" w:cs="宋体"/>
          <w:color w:val="auto"/>
          <w:kern w:val="0"/>
          <w:lang w:val="en-US" w:eastAsia="zh-CN"/>
        </w:rPr>
      </w:pPr>
      <w:r>
        <w:rPr>
          <w:rFonts w:hint="eastAsia" w:hAnsi="宋体" w:cs="宋体"/>
          <w:color w:val="auto"/>
          <w:kern w:val="0"/>
          <w:lang w:val="en-US" w:eastAsia="zh-CN"/>
        </w:rPr>
        <w:t>6.</w:t>
      </w:r>
      <w:r>
        <w:rPr>
          <w:rFonts w:hint="eastAsia" w:hAnsi="宋体" w:cs="宋体"/>
          <w:color w:val="auto"/>
          <w:kern w:val="0"/>
        </w:rPr>
        <w:t>盖章要求：正本、副本文件的骑缝处和封面均须加盖供应商公章。副本可采用正本签字盖章后的复印件</w:t>
      </w:r>
      <w:r>
        <w:rPr>
          <w:rFonts w:hint="eastAsia" w:hAnsi="宋体" w:cs="宋体"/>
          <w:color w:val="auto"/>
          <w:kern w:val="0"/>
          <w:lang w:eastAsia="zh-CN"/>
        </w:rPr>
        <w:t>。</w:t>
      </w:r>
    </w:p>
    <w:p w14:paraId="0F3A2B57">
      <w:pPr>
        <w:rPr>
          <w:color w:val="auto"/>
        </w:rPr>
      </w:pPr>
    </w:p>
    <w:p w14:paraId="1FA4F543">
      <w:pPr>
        <w:pStyle w:val="24"/>
        <w:spacing w:line="360" w:lineRule="auto"/>
        <w:ind w:firstLine="738" w:firstLineChars="350"/>
        <w:rPr>
          <w:rFonts w:hAnsi="宋体" w:cs="宋体"/>
          <w:b/>
          <w:bCs/>
          <w:color w:val="auto"/>
          <w:szCs w:val="21"/>
        </w:rPr>
      </w:pPr>
    </w:p>
    <w:p w14:paraId="040AB665">
      <w:pPr>
        <w:pStyle w:val="24"/>
        <w:spacing w:line="360" w:lineRule="auto"/>
        <w:rPr>
          <w:rFonts w:hAnsi="宋体" w:cs="宋体"/>
          <w:color w:val="auto"/>
          <w:kern w:val="0"/>
          <w:szCs w:val="21"/>
        </w:rPr>
      </w:pPr>
    </w:p>
    <w:p w14:paraId="2FC05B0D">
      <w:pPr>
        <w:rPr>
          <w:rFonts w:ascii="宋体" w:hAnsi="宋体" w:cs="宋体"/>
          <w:b/>
          <w:color w:val="auto"/>
          <w:spacing w:val="100"/>
          <w:kern w:val="0"/>
          <w:sz w:val="48"/>
          <w:szCs w:val="48"/>
        </w:rPr>
      </w:pPr>
      <w:r>
        <w:rPr>
          <w:rFonts w:hint="eastAsia" w:ascii="宋体" w:hAnsi="宋体" w:cs="宋体"/>
          <w:b/>
          <w:color w:val="auto"/>
          <w:spacing w:val="100"/>
          <w:kern w:val="0"/>
          <w:sz w:val="48"/>
          <w:szCs w:val="48"/>
        </w:rPr>
        <w:br w:type="page"/>
      </w:r>
    </w:p>
    <w:p w14:paraId="3B92C631">
      <w:pPr>
        <w:rPr>
          <w:rFonts w:ascii="宋体" w:hAnsi="宋体" w:cs="宋体"/>
          <w:color w:val="auto"/>
        </w:rPr>
      </w:pPr>
    </w:p>
    <w:p w14:paraId="5A3B55C7">
      <w:pPr>
        <w:pStyle w:val="13"/>
        <w:rPr>
          <w:rFonts w:ascii="宋体" w:hAnsi="宋体" w:cs="宋体"/>
          <w:color w:val="auto"/>
        </w:rPr>
      </w:pPr>
    </w:p>
    <w:p w14:paraId="4DDE2F5A">
      <w:pPr>
        <w:pStyle w:val="13"/>
        <w:rPr>
          <w:rFonts w:ascii="宋体" w:hAnsi="宋体" w:cs="宋体"/>
          <w:color w:val="auto"/>
        </w:rPr>
      </w:pPr>
    </w:p>
    <w:p w14:paraId="7931E793">
      <w:pPr>
        <w:pStyle w:val="24"/>
        <w:tabs>
          <w:tab w:val="left" w:pos="1260"/>
        </w:tabs>
        <w:jc w:val="center"/>
        <w:rPr>
          <w:rFonts w:hAnsi="宋体" w:cs="宋体"/>
          <w:b/>
          <w:color w:val="auto"/>
          <w:spacing w:val="100"/>
          <w:kern w:val="0"/>
          <w:sz w:val="48"/>
          <w:szCs w:val="48"/>
        </w:rPr>
      </w:pPr>
    </w:p>
    <w:p w14:paraId="35F29346">
      <w:pPr>
        <w:rPr>
          <w:rFonts w:ascii="宋体" w:hAnsi="宋体" w:cs="宋体"/>
          <w:b/>
          <w:color w:val="auto"/>
          <w:spacing w:val="100"/>
          <w:kern w:val="0"/>
          <w:sz w:val="48"/>
          <w:szCs w:val="48"/>
        </w:rPr>
      </w:pPr>
    </w:p>
    <w:p w14:paraId="13306169">
      <w:pPr>
        <w:pStyle w:val="13"/>
        <w:rPr>
          <w:rFonts w:ascii="宋体" w:hAnsi="宋体" w:cs="宋体"/>
          <w:color w:val="auto"/>
        </w:rPr>
      </w:pPr>
    </w:p>
    <w:p w14:paraId="740623BF">
      <w:pPr>
        <w:pStyle w:val="24"/>
        <w:tabs>
          <w:tab w:val="left" w:pos="1260"/>
        </w:tabs>
        <w:jc w:val="center"/>
        <w:rPr>
          <w:rFonts w:hAnsi="宋体" w:cs="宋体"/>
          <w:b/>
          <w:color w:val="auto"/>
          <w:spacing w:val="100"/>
          <w:sz w:val="48"/>
          <w:szCs w:val="48"/>
        </w:rPr>
      </w:pPr>
      <w:r>
        <w:rPr>
          <w:rFonts w:hint="eastAsia" w:hAnsi="宋体" w:cs="宋体"/>
          <w:b/>
          <w:color w:val="auto"/>
          <w:spacing w:val="100"/>
          <w:kern w:val="0"/>
          <w:sz w:val="48"/>
          <w:szCs w:val="48"/>
        </w:rPr>
        <w:t>响应文件</w:t>
      </w:r>
    </w:p>
    <w:p w14:paraId="0C917DC2">
      <w:pPr>
        <w:pStyle w:val="24"/>
        <w:jc w:val="center"/>
        <w:rPr>
          <w:rFonts w:hAnsi="宋体" w:cs="宋体"/>
          <w:b/>
          <w:color w:val="auto"/>
          <w:sz w:val="48"/>
          <w:szCs w:val="48"/>
        </w:rPr>
      </w:pPr>
      <w:r>
        <w:rPr>
          <w:rFonts w:hint="eastAsia" w:hAnsi="宋体" w:cs="宋体"/>
          <w:b/>
          <w:color w:val="auto"/>
          <w:sz w:val="48"/>
          <w:szCs w:val="48"/>
        </w:rPr>
        <w:t>（正本/副本）</w:t>
      </w:r>
    </w:p>
    <w:p w14:paraId="2949F232">
      <w:pPr>
        <w:pStyle w:val="24"/>
        <w:jc w:val="center"/>
        <w:rPr>
          <w:rFonts w:hAnsi="宋体" w:cs="宋体"/>
          <w:b/>
          <w:color w:val="auto"/>
          <w:sz w:val="28"/>
          <w:szCs w:val="28"/>
        </w:rPr>
      </w:pPr>
    </w:p>
    <w:p w14:paraId="6FB3AAB3">
      <w:pPr>
        <w:rPr>
          <w:rFonts w:ascii="宋体" w:hAnsi="宋体" w:cs="宋体"/>
          <w:b/>
          <w:color w:val="auto"/>
          <w:sz w:val="28"/>
          <w:szCs w:val="28"/>
        </w:rPr>
      </w:pPr>
    </w:p>
    <w:p w14:paraId="350DC735">
      <w:pPr>
        <w:pStyle w:val="13"/>
        <w:rPr>
          <w:rFonts w:ascii="宋体" w:hAnsi="宋体" w:cs="宋体"/>
          <w:color w:val="auto"/>
        </w:rPr>
      </w:pPr>
    </w:p>
    <w:p w14:paraId="15856742">
      <w:pPr>
        <w:pStyle w:val="24"/>
        <w:jc w:val="center"/>
        <w:rPr>
          <w:rFonts w:hAnsi="宋体" w:cs="宋体"/>
          <w:b/>
          <w:color w:val="auto"/>
          <w:sz w:val="28"/>
          <w:szCs w:val="28"/>
        </w:rPr>
      </w:pPr>
    </w:p>
    <w:p w14:paraId="29BA1B35">
      <w:pPr>
        <w:pStyle w:val="24"/>
        <w:spacing w:line="360" w:lineRule="auto"/>
        <w:ind w:firstLine="1521" w:firstLineChars="541"/>
        <w:rPr>
          <w:rFonts w:hAnsi="宋体" w:cs="宋体"/>
          <w:b/>
          <w:color w:val="auto"/>
          <w:sz w:val="28"/>
          <w:szCs w:val="28"/>
          <w:u w:val="single"/>
        </w:rPr>
      </w:pPr>
      <w:r>
        <w:rPr>
          <w:rFonts w:hint="eastAsia" w:hAnsi="宋体" w:cs="宋体"/>
          <w:b/>
          <w:color w:val="auto"/>
          <w:sz w:val="28"/>
          <w:szCs w:val="28"/>
        </w:rPr>
        <w:t>采购项目编号：</w:t>
      </w:r>
    </w:p>
    <w:p w14:paraId="3F594E3A">
      <w:pPr>
        <w:pStyle w:val="20"/>
        <w:ind w:left="481" w:leftChars="229" w:firstLine="967" w:firstLineChars="344"/>
        <w:rPr>
          <w:rFonts w:hAnsi="宋体" w:cs="宋体"/>
          <w:b/>
          <w:color w:val="auto"/>
          <w:sz w:val="28"/>
          <w:szCs w:val="28"/>
        </w:rPr>
      </w:pPr>
      <w:r>
        <w:rPr>
          <w:rFonts w:hint="eastAsia" w:hAnsi="宋体" w:cs="宋体"/>
          <w:b/>
          <w:color w:val="auto"/>
          <w:sz w:val="28"/>
          <w:szCs w:val="28"/>
        </w:rPr>
        <w:t>采购项目名称：</w:t>
      </w:r>
    </w:p>
    <w:p w14:paraId="07D0AF3B">
      <w:pPr>
        <w:pStyle w:val="24"/>
        <w:rPr>
          <w:rFonts w:hAnsi="宋体" w:cs="宋体"/>
          <w:b/>
          <w:color w:val="auto"/>
          <w:sz w:val="28"/>
          <w:szCs w:val="28"/>
        </w:rPr>
      </w:pPr>
    </w:p>
    <w:p w14:paraId="487BF278">
      <w:pPr>
        <w:rPr>
          <w:rFonts w:ascii="宋体" w:hAnsi="宋体" w:cs="宋体"/>
          <w:b/>
          <w:color w:val="auto"/>
          <w:sz w:val="28"/>
          <w:szCs w:val="28"/>
        </w:rPr>
      </w:pPr>
    </w:p>
    <w:p w14:paraId="6E1BED2F">
      <w:pPr>
        <w:pStyle w:val="58"/>
        <w:rPr>
          <w:color w:val="auto"/>
        </w:rPr>
      </w:pPr>
    </w:p>
    <w:p w14:paraId="457D4735">
      <w:pPr>
        <w:pStyle w:val="13"/>
        <w:rPr>
          <w:rFonts w:ascii="宋体" w:hAnsi="宋体" w:cs="宋体"/>
          <w:b/>
          <w:color w:val="auto"/>
          <w:sz w:val="28"/>
          <w:szCs w:val="28"/>
        </w:rPr>
      </w:pPr>
    </w:p>
    <w:p w14:paraId="4D71D114">
      <w:pPr>
        <w:pStyle w:val="13"/>
        <w:rPr>
          <w:rFonts w:ascii="宋体" w:hAnsi="宋体" w:cs="宋体"/>
          <w:b/>
          <w:color w:val="auto"/>
          <w:sz w:val="28"/>
          <w:szCs w:val="28"/>
        </w:rPr>
      </w:pPr>
    </w:p>
    <w:p w14:paraId="01389F05">
      <w:pPr>
        <w:pStyle w:val="13"/>
        <w:rPr>
          <w:rFonts w:ascii="宋体" w:hAnsi="宋体" w:cs="宋体"/>
          <w:b/>
          <w:color w:val="auto"/>
          <w:sz w:val="28"/>
          <w:szCs w:val="28"/>
        </w:rPr>
      </w:pPr>
    </w:p>
    <w:p w14:paraId="2FF565C2">
      <w:pPr>
        <w:pStyle w:val="24"/>
        <w:rPr>
          <w:rFonts w:hAnsi="宋体" w:cs="宋体"/>
          <w:b/>
          <w:color w:val="auto"/>
          <w:sz w:val="28"/>
          <w:szCs w:val="28"/>
        </w:rPr>
      </w:pPr>
    </w:p>
    <w:p w14:paraId="54AFFC2B">
      <w:pPr>
        <w:pStyle w:val="24"/>
        <w:spacing w:line="360" w:lineRule="auto"/>
        <w:ind w:firstLine="3117" w:firstLineChars="1109"/>
        <w:rPr>
          <w:rFonts w:hAnsi="宋体" w:cs="宋体"/>
          <w:b/>
          <w:color w:val="auto"/>
          <w:sz w:val="28"/>
          <w:szCs w:val="28"/>
          <w:u w:val="single"/>
        </w:rPr>
      </w:pPr>
      <w:r>
        <w:rPr>
          <w:rFonts w:hint="eastAsia" w:hAnsi="宋体" w:cs="宋体"/>
          <w:b/>
          <w:color w:val="auto"/>
          <w:sz w:val="28"/>
          <w:szCs w:val="28"/>
        </w:rPr>
        <w:t>供应商名称：</w:t>
      </w:r>
    </w:p>
    <w:p w14:paraId="62271E52">
      <w:pPr>
        <w:pStyle w:val="24"/>
        <w:spacing w:line="360" w:lineRule="auto"/>
        <w:ind w:firstLine="3117" w:firstLineChars="1109"/>
        <w:rPr>
          <w:rFonts w:hAnsi="宋体" w:cs="宋体"/>
          <w:color w:val="auto"/>
        </w:rPr>
      </w:pPr>
      <w:r>
        <w:rPr>
          <w:rFonts w:hint="eastAsia" w:hAnsi="宋体" w:cs="宋体"/>
          <w:b/>
          <w:color w:val="auto"/>
          <w:sz w:val="28"/>
          <w:szCs w:val="28"/>
        </w:rPr>
        <w:t>日期：    年     月     日</w:t>
      </w:r>
      <w:bookmarkEnd w:id="383"/>
      <w:bookmarkStart w:id="388" w:name="_Toc453695690"/>
      <w:bookmarkStart w:id="389" w:name="_Toc453695563"/>
      <w:bookmarkStart w:id="390" w:name="_Toc338083269"/>
      <w:bookmarkStart w:id="391" w:name="_Toc238274999"/>
      <w:bookmarkStart w:id="392" w:name="_Toc461991254"/>
      <w:r>
        <w:rPr>
          <w:rFonts w:hint="eastAsia" w:hAnsi="宋体" w:cs="宋体"/>
          <w:color w:val="auto"/>
        </w:rPr>
        <w:br w:type="page"/>
      </w:r>
    </w:p>
    <w:p w14:paraId="1E9DD9C4">
      <w:pPr>
        <w:pStyle w:val="3"/>
        <w:widowControl/>
        <w:numPr>
          <w:ilvl w:val="0"/>
          <w:numId w:val="9"/>
        </w:numPr>
        <w:spacing w:before="0" w:after="0" w:line="416" w:lineRule="auto"/>
        <w:ind w:left="839"/>
        <w:jc w:val="left"/>
        <w:rPr>
          <w:rFonts w:cs="宋体"/>
          <w:color w:val="auto"/>
        </w:rPr>
      </w:pPr>
      <w:bookmarkStart w:id="393" w:name="_Toc26215"/>
      <w:bookmarkStart w:id="394" w:name="_Toc23239"/>
      <w:bookmarkStart w:id="395" w:name="_Toc4811"/>
      <w:bookmarkStart w:id="396" w:name="_Toc1930"/>
      <w:bookmarkStart w:id="397" w:name="_Toc25114"/>
      <w:bookmarkStart w:id="398" w:name="_Toc1810"/>
      <w:bookmarkStart w:id="399" w:name="_Toc15543"/>
      <w:bookmarkStart w:id="400" w:name="_Toc16152"/>
      <w:bookmarkStart w:id="401" w:name="_Toc24589"/>
      <w:r>
        <w:rPr>
          <w:rFonts w:hint="eastAsia" w:cs="宋体"/>
          <w:color w:val="auto"/>
        </w:rPr>
        <w:t>自查表</w:t>
      </w:r>
      <w:bookmarkEnd w:id="393"/>
      <w:bookmarkEnd w:id="394"/>
      <w:bookmarkEnd w:id="395"/>
      <w:bookmarkEnd w:id="396"/>
      <w:bookmarkEnd w:id="397"/>
      <w:bookmarkEnd w:id="398"/>
      <w:bookmarkEnd w:id="399"/>
      <w:bookmarkEnd w:id="400"/>
      <w:bookmarkEnd w:id="401"/>
    </w:p>
    <w:p w14:paraId="00C6A99B">
      <w:pPr>
        <w:numPr>
          <w:ilvl w:val="0"/>
          <w:numId w:val="0"/>
        </w:numPr>
        <w:spacing w:line="500" w:lineRule="exact"/>
        <w:jc w:val="center"/>
        <w:rPr>
          <w:rFonts w:ascii="宋体" w:hAnsi="宋体" w:cs="宋体"/>
          <w:b/>
          <w:color w:val="auto"/>
          <w:sz w:val="28"/>
          <w:szCs w:val="28"/>
        </w:rPr>
      </w:pPr>
      <w:r>
        <w:rPr>
          <w:rFonts w:ascii="宋体" w:hAnsi="宋体" w:eastAsia="宋体" w:cs="宋体"/>
          <w:b/>
          <w:color w:val="auto"/>
          <w:kern w:val="2"/>
          <w:sz w:val="28"/>
          <w:szCs w:val="28"/>
          <w:lang w:val="en-US" w:eastAsia="zh-CN" w:bidi="ar-SA"/>
        </w:rPr>
        <w:t>1、</w:t>
      </w:r>
      <w:r>
        <w:rPr>
          <w:rFonts w:hint="eastAsia" w:ascii="宋体" w:hAnsi="宋体" w:cs="宋体"/>
          <w:b/>
          <w:color w:val="auto"/>
          <w:sz w:val="28"/>
          <w:szCs w:val="28"/>
        </w:rPr>
        <w:t>资格性自查表</w:t>
      </w:r>
    </w:p>
    <w:tbl>
      <w:tblPr>
        <w:tblStyle w:val="46"/>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0"/>
        <w:gridCol w:w="1095"/>
        <w:gridCol w:w="1449"/>
      </w:tblGrid>
      <w:tr w14:paraId="3C2C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590" w:type="dxa"/>
            <w:vAlign w:val="center"/>
          </w:tcPr>
          <w:p w14:paraId="4148774D">
            <w:pPr>
              <w:keepNext w:val="0"/>
              <w:keepLines w:val="0"/>
              <w:pageBreakBefore w:val="0"/>
              <w:widowControl w:val="0"/>
              <w:kinsoku/>
              <w:wordWrap/>
              <w:overflowPunct/>
              <w:topLinePunct w:val="0"/>
              <w:bidi w:val="0"/>
              <w:adjustRightInd/>
              <w:spacing w:line="440" w:lineRule="exact"/>
              <w:jc w:val="center"/>
              <w:textAlignment w:val="auto"/>
              <w:rPr>
                <w:rFonts w:ascii="宋体" w:hAnsi="宋体" w:cs="宋体"/>
                <w:b/>
                <w:bCs/>
                <w:color w:val="auto"/>
                <w:szCs w:val="21"/>
              </w:rPr>
            </w:pPr>
            <w:r>
              <w:rPr>
                <w:rFonts w:hint="eastAsia" w:ascii="宋体" w:hAnsi="宋体" w:cs="宋体"/>
                <w:b/>
                <w:bCs/>
                <w:color w:val="auto"/>
                <w:szCs w:val="21"/>
              </w:rPr>
              <w:t>评审内容</w:t>
            </w:r>
          </w:p>
          <w:p w14:paraId="052AE9E5">
            <w:pPr>
              <w:keepNext w:val="0"/>
              <w:keepLines w:val="0"/>
              <w:pageBreakBefore w:val="0"/>
              <w:widowControl w:val="0"/>
              <w:kinsoku/>
              <w:wordWrap/>
              <w:overflowPunct/>
              <w:topLinePunct w:val="0"/>
              <w:bidi w:val="0"/>
              <w:adjustRightInd/>
              <w:spacing w:line="440" w:lineRule="exact"/>
              <w:jc w:val="center"/>
              <w:textAlignment w:val="auto"/>
              <w:rPr>
                <w:rFonts w:ascii="宋体" w:hAnsi="宋体" w:cs="宋体"/>
                <w:b/>
                <w:bCs/>
                <w:color w:val="auto"/>
                <w:szCs w:val="21"/>
              </w:rPr>
            </w:pPr>
            <w:r>
              <w:rPr>
                <w:rFonts w:hint="eastAsia" w:ascii="宋体" w:hAnsi="宋体" w:cs="宋体"/>
                <w:b/>
                <w:bCs/>
                <w:color w:val="auto"/>
                <w:szCs w:val="21"/>
              </w:rPr>
              <w:t>（以磋商邀请函中“申请人的资格要求”为准。）</w:t>
            </w:r>
          </w:p>
        </w:tc>
        <w:tc>
          <w:tcPr>
            <w:tcW w:w="1095" w:type="dxa"/>
            <w:vAlign w:val="center"/>
          </w:tcPr>
          <w:p w14:paraId="3E460A6B">
            <w:pPr>
              <w:keepNext w:val="0"/>
              <w:keepLines w:val="0"/>
              <w:pageBreakBefore w:val="0"/>
              <w:widowControl w:val="0"/>
              <w:kinsoku/>
              <w:wordWrap/>
              <w:overflowPunct/>
              <w:topLinePunct w:val="0"/>
              <w:bidi w:val="0"/>
              <w:adjustRightInd/>
              <w:spacing w:line="440" w:lineRule="exact"/>
              <w:jc w:val="center"/>
              <w:textAlignment w:val="auto"/>
              <w:rPr>
                <w:rFonts w:ascii="宋体" w:hAnsi="宋体" w:cs="宋体"/>
                <w:b/>
                <w:bCs/>
                <w:color w:val="auto"/>
                <w:szCs w:val="21"/>
              </w:rPr>
            </w:pPr>
            <w:r>
              <w:rPr>
                <w:rFonts w:hint="eastAsia" w:ascii="宋体" w:hAnsi="宋体" w:cs="宋体"/>
                <w:b/>
                <w:bCs/>
                <w:color w:val="auto"/>
                <w:szCs w:val="21"/>
              </w:rPr>
              <w:t>自查结论</w:t>
            </w:r>
          </w:p>
        </w:tc>
        <w:tc>
          <w:tcPr>
            <w:tcW w:w="1449" w:type="dxa"/>
            <w:vAlign w:val="center"/>
          </w:tcPr>
          <w:p w14:paraId="66B01384">
            <w:pPr>
              <w:keepNext w:val="0"/>
              <w:keepLines w:val="0"/>
              <w:pageBreakBefore w:val="0"/>
              <w:widowControl w:val="0"/>
              <w:kinsoku/>
              <w:wordWrap/>
              <w:overflowPunct/>
              <w:topLinePunct w:val="0"/>
              <w:bidi w:val="0"/>
              <w:adjustRightInd/>
              <w:spacing w:line="440" w:lineRule="exact"/>
              <w:jc w:val="center"/>
              <w:textAlignment w:val="auto"/>
              <w:rPr>
                <w:rFonts w:ascii="宋体" w:hAnsi="宋体" w:cs="宋体"/>
                <w:b/>
                <w:bCs/>
                <w:color w:val="auto"/>
                <w:szCs w:val="21"/>
              </w:rPr>
            </w:pPr>
            <w:r>
              <w:rPr>
                <w:rFonts w:hint="eastAsia" w:ascii="宋体" w:hAnsi="宋体" w:cs="宋体"/>
                <w:b/>
                <w:bCs/>
                <w:color w:val="auto"/>
                <w:szCs w:val="21"/>
              </w:rPr>
              <w:t>证明材料</w:t>
            </w:r>
          </w:p>
        </w:tc>
      </w:tr>
      <w:tr w14:paraId="1F82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2" w:hRule="atLeast"/>
          <w:jc w:val="center"/>
        </w:trPr>
        <w:tc>
          <w:tcPr>
            <w:tcW w:w="7590" w:type="dxa"/>
            <w:vAlign w:val="center"/>
          </w:tcPr>
          <w:p w14:paraId="48F687E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b/>
                <w:bCs/>
                <w:color w:val="auto"/>
                <w:szCs w:val="21"/>
              </w:rPr>
            </w:pPr>
            <w:r>
              <w:rPr>
                <w:rFonts w:hint="eastAsia" w:ascii="宋体" w:hAnsi="宋体" w:cs="宋体"/>
                <w:b/>
                <w:bCs/>
                <w:color w:val="auto"/>
                <w:szCs w:val="21"/>
              </w:rPr>
              <w:t>1.</w:t>
            </w:r>
            <w:r>
              <w:rPr>
                <w:rFonts w:hint="eastAsia" w:ascii="宋体" w:hAnsi="宋体" w:eastAsia="宋体" w:cs="宋体"/>
                <w:b/>
                <w:bCs w:val="0"/>
                <w:color w:val="auto"/>
                <w:szCs w:val="21"/>
                <w:lang w:eastAsia="zh-CN"/>
              </w:rPr>
              <w:t>供应商</w:t>
            </w:r>
            <w:r>
              <w:rPr>
                <w:rFonts w:hint="eastAsia" w:ascii="宋体" w:hAnsi="宋体" w:eastAsia="宋体" w:cs="宋体"/>
                <w:b/>
                <w:bCs w:val="0"/>
                <w:color w:val="auto"/>
                <w:szCs w:val="21"/>
              </w:rPr>
              <w:t>应具备有关法规规定的条件</w:t>
            </w:r>
            <w:r>
              <w:rPr>
                <w:rFonts w:hint="eastAsia" w:ascii="宋体" w:hAnsi="宋体" w:cs="宋体"/>
                <w:b/>
                <w:bCs/>
                <w:color w:val="auto"/>
                <w:szCs w:val="21"/>
              </w:rPr>
              <w:t>：</w:t>
            </w:r>
          </w:p>
          <w:p w14:paraId="4FECD33F">
            <w:pPr>
              <w:snapToGrid w:val="0"/>
              <w:spacing w:line="440" w:lineRule="exact"/>
              <w:rPr>
                <w:rFonts w:ascii="宋体" w:hAnsi="宋体" w:cs="宋体"/>
                <w:color w:val="auto"/>
              </w:rPr>
            </w:pPr>
            <w:r>
              <w:rPr>
                <w:rFonts w:hint="eastAsia" w:ascii="宋体" w:hAnsi="宋体" w:cs="宋体"/>
                <w:color w:val="auto"/>
              </w:rPr>
              <w:t>（1）具有独立承担民事责任能力的在中华人民共和国境内注册的法人或其他组织。【提供有效的营业执照（或事业法人登记证或身份证等相关证明）复印件。分支机构投标的，须提供总公司（或其法人机构）和分支机构营业执照复印件，及总公司（或其法人机构）出具给分支机构的授权书。】</w:t>
            </w:r>
          </w:p>
          <w:p w14:paraId="7A21B59E">
            <w:pPr>
              <w:snapToGrid w:val="0"/>
              <w:spacing w:line="440" w:lineRule="exact"/>
              <w:rPr>
                <w:rFonts w:hint="eastAsia" w:ascii="宋体" w:hAnsi="宋体" w:cs="宋体"/>
                <w:color w:val="auto"/>
              </w:rPr>
            </w:pPr>
            <w:r>
              <w:rPr>
                <w:rFonts w:hint="eastAsia" w:ascii="宋体" w:hAnsi="宋体" w:cs="宋体"/>
                <w:color w:val="auto"/>
              </w:rPr>
              <w:t>（2）具有良好的商业信誉和健全的财务会计制度</w:t>
            </w:r>
            <w:r>
              <w:rPr>
                <w:rFonts w:hint="eastAsia" w:ascii="宋体" w:hAnsi="宋体" w:cs="宋体"/>
                <w:color w:val="auto"/>
                <w:lang w:eastAsia="zh-CN"/>
              </w:rPr>
              <w:t>：</w:t>
            </w:r>
            <w:r>
              <w:rPr>
                <w:rFonts w:hint="eastAsia" w:ascii="宋体" w:hAnsi="宋体" w:cs="宋体"/>
                <w:color w:val="auto"/>
              </w:rPr>
              <w:t>提供《资格条件承诺函》。</w:t>
            </w:r>
          </w:p>
          <w:p w14:paraId="50CEAD2E">
            <w:pPr>
              <w:snapToGrid w:val="0"/>
              <w:spacing w:line="440" w:lineRule="exact"/>
              <w:rPr>
                <w:rFonts w:hint="eastAsia" w:ascii="宋体" w:hAnsi="宋体" w:cs="宋体"/>
                <w:color w:val="auto"/>
              </w:rPr>
            </w:pPr>
            <w:r>
              <w:rPr>
                <w:rFonts w:hint="eastAsia" w:ascii="宋体" w:hAnsi="宋体" w:cs="宋体"/>
                <w:color w:val="auto"/>
              </w:rPr>
              <w:t>（3）具有履行合同所必需的设备和专业技术能力</w:t>
            </w:r>
            <w:r>
              <w:rPr>
                <w:rFonts w:hint="eastAsia" w:ascii="宋体" w:hAnsi="宋体" w:cs="宋体"/>
                <w:color w:val="auto"/>
                <w:lang w:eastAsia="zh-CN"/>
              </w:rPr>
              <w:t>：</w:t>
            </w:r>
            <w:r>
              <w:rPr>
                <w:rFonts w:hint="eastAsia" w:ascii="宋体" w:hAnsi="宋体" w:cs="宋体"/>
                <w:color w:val="auto"/>
              </w:rPr>
              <w:t>提供《资格条件承诺函》。</w:t>
            </w:r>
          </w:p>
          <w:p w14:paraId="1F760DC4">
            <w:pPr>
              <w:snapToGrid w:val="0"/>
              <w:spacing w:line="440" w:lineRule="exact"/>
              <w:rPr>
                <w:rFonts w:hint="eastAsia" w:ascii="宋体" w:hAnsi="宋体" w:cs="宋体"/>
                <w:color w:val="auto"/>
              </w:rPr>
            </w:pPr>
            <w:r>
              <w:rPr>
                <w:rFonts w:hint="eastAsia" w:ascii="宋体" w:hAnsi="宋体" w:cs="宋体"/>
                <w:color w:val="auto"/>
              </w:rPr>
              <w:t>（4）有依法缴纳税收和社会保障资金的良好记录</w:t>
            </w:r>
            <w:r>
              <w:rPr>
                <w:rFonts w:hint="eastAsia" w:ascii="宋体" w:hAnsi="宋体" w:cs="宋体"/>
                <w:color w:val="auto"/>
                <w:lang w:eastAsia="zh-CN"/>
              </w:rPr>
              <w:t>：</w:t>
            </w:r>
            <w:r>
              <w:rPr>
                <w:rFonts w:hint="eastAsia" w:ascii="宋体" w:hAnsi="宋体" w:cs="宋体"/>
                <w:color w:val="auto"/>
              </w:rPr>
              <w:t>提供《资格条件承诺函》。</w:t>
            </w:r>
          </w:p>
          <w:p w14:paraId="04D86B56">
            <w:pPr>
              <w:snapToGrid w:val="0"/>
              <w:spacing w:line="440" w:lineRule="exact"/>
              <w:rPr>
                <w:rFonts w:ascii="宋体" w:hAnsi="宋体" w:cs="宋体"/>
                <w:color w:val="auto"/>
                <w:szCs w:val="21"/>
              </w:rPr>
            </w:pPr>
            <w:r>
              <w:rPr>
                <w:rFonts w:hint="eastAsia" w:ascii="宋体" w:hAnsi="宋体" w:cs="宋体"/>
                <w:color w:val="auto"/>
              </w:rPr>
              <w:t>（5）参加采购活动前三年内，在经营活动中没有重大违法记录</w:t>
            </w:r>
            <w:r>
              <w:rPr>
                <w:rFonts w:hint="eastAsia" w:ascii="宋体" w:hAnsi="宋体" w:cs="宋体"/>
                <w:color w:val="auto"/>
                <w:lang w:eastAsia="zh-CN"/>
              </w:rPr>
              <w:t>：</w:t>
            </w:r>
            <w:r>
              <w:rPr>
                <w:rFonts w:hint="eastAsia" w:ascii="宋体" w:hAnsi="宋体" w:cs="宋体"/>
                <w:color w:val="auto"/>
              </w:rPr>
              <w:t>提供《资格条件承诺函》。重大违法记录，是指报价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5" w:type="dxa"/>
            <w:vAlign w:val="center"/>
          </w:tcPr>
          <w:p w14:paraId="16710EC5">
            <w:pPr>
              <w:keepNext w:val="0"/>
              <w:keepLines w:val="0"/>
              <w:pageBreakBefore w:val="0"/>
              <w:widowControl w:val="0"/>
              <w:kinsoku/>
              <w:wordWrap/>
              <w:overflowPunct/>
              <w:topLinePunct w:val="0"/>
              <w:bidi w:val="0"/>
              <w:adjustRightInd/>
              <w:spacing w:line="440" w:lineRule="exact"/>
              <w:jc w:val="left"/>
              <w:textAlignment w:val="auto"/>
              <w:rPr>
                <w:rFonts w:ascii="宋体" w:hAnsi="宋体" w:cs="宋体"/>
                <w:color w:val="auto"/>
                <w:szCs w:val="21"/>
              </w:rPr>
            </w:pPr>
            <w:r>
              <w:rPr>
                <w:rFonts w:hint="eastAsia" w:ascii="宋体" w:hAnsi="宋体" w:cs="宋体"/>
                <w:color w:val="auto"/>
                <w:szCs w:val="21"/>
              </w:rPr>
              <w:t>□通过     □不通过</w:t>
            </w:r>
          </w:p>
        </w:tc>
        <w:tc>
          <w:tcPr>
            <w:tcW w:w="1449" w:type="dxa"/>
            <w:vAlign w:val="center"/>
          </w:tcPr>
          <w:p w14:paraId="758A6744">
            <w:pPr>
              <w:keepNext w:val="0"/>
              <w:keepLines w:val="0"/>
              <w:pageBreakBefore w:val="0"/>
              <w:widowControl w:val="0"/>
              <w:kinsoku/>
              <w:wordWrap/>
              <w:overflowPunct/>
              <w:topLinePunct w:val="0"/>
              <w:bidi w:val="0"/>
              <w:adjustRightInd/>
              <w:spacing w:line="440" w:lineRule="exact"/>
              <w:jc w:val="center"/>
              <w:textAlignment w:val="auto"/>
              <w:rPr>
                <w:rFonts w:ascii="宋体" w:hAnsi="宋体" w:cs="宋体"/>
                <w:color w:val="auto"/>
                <w:szCs w:val="21"/>
              </w:rPr>
            </w:pPr>
            <w:r>
              <w:rPr>
                <w:rFonts w:hint="eastAsia" w:ascii="宋体" w:hAnsi="宋体" w:cs="宋体"/>
                <w:color w:val="auto"/>
                <w:szCs w:val="21"/>
              </w:rPr>
              <w:t>见响应文件第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229B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590" w:type="dxa"/>
            <w:vAlign w:val="center"/>
          </w:tcPr>
          <w:p w14:paraId="0152C02B">
            <w:pPr>
              <w:keepNext w:val="0"/>
              <w:keepLines w:val="0"/>
              <w:pageBreakBefore w:val="0"/>
              <w:widowControl w:val="0"/>
              <w:kinsoku/>
              <w:wordWrap/>
              <w:overflowPunct/>
              <w:topLinePunct w:val="0"/>
              <w:bidi w:val="0"/>
              <w:adjustRightInd/>
              <w:snapToGrid w:val="0"/>
              <w:spacing w:line="440" w:lineRule="exact"/>
              <w:textAlignment w:val="auto"/>
              <w:rPr>
                <w:rFonts w:ascii="宋体" w:hAnsi="宋体" w:cs="宋体"/>
                <w:color w:val="auto"/>
                <w:szCs w:val="22"/>
              </w:rPr>
            </w:pPr>
            <w:r>
              <w:rPr>
                <w:rFonts w:hint="eastAsia" w:ascii="宋体" w:hAnsi="宋体" w:cs="宋体"/>
                <w:color w:val="auto"/>
                <w:szCs w:val="22"/>
                <w:lang w:val="en-US" w:eastAsia="zh-CN"/>
              </w:rPr>
              <w:t>2</w:t>
            </w:r>
            <w:r>
              <w:rPr>
                <w:rFonts w:hint="eastAsia" w:ascii="宋体" w:hAnsi="宋体" w:cs="宋体"/>
                <w:color w:val="auto"/>
                <w:szCs w:val="22"/>
              </w:rPr>
              <w:t>.本项目的特定资格要求：</w:t>
            </w:r>
          </w:p>
          <w:p w14:paraId="25FD01F5">
            <w:pPr>
              <w:keepNext w:val="0"/>
              <w:keepLines w:val="0"/>
              <w:pageBreakBefore w:val="0"/>
              <w:kinsoku/>
              <w:overflowPunct/>
              <w:autoSpaceDE/>
              <w:autoSpaceDN/>
              <w:bidi w:val="0"/>
              <w:snapToGrid w:val="0"/>
              <w:spacing w:line="44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供应商</w:t>
            </w:r>
            <w:r>
              <w:rPr>
                <w:rFonts w:hint="eastAsia" w:ascii="宋体" w:hAnsi="宋体" w:eastAsia="宋体" w:cs="宋体"/>
                <w:b w:val="0"/>
                <w:bCs/>
                <w:color w:val="auto"/>
                <w:szCs w:val="21"/>
              </w:rPr>
              <w:t>未被列入“信用中国”网站(www.creditchina.gov.cn)“失信被执行人或重大税收违法失信主体”记录名单。【以采购代理机构于</w:t>
            </w:r>
            <w:r>
              <w:rPr>
                <w:rFonts w:hint="eastAsia" w:ascii="宋体" w:hAnsi="宋体" w:eastAsia="宋体" w:cs="宋体"/>
                <w:b w:val="0"/>
                <w:bCs/>
                <w:color w:val="auto"/>
                <w:szCs w:val="21"/>
                <w:lang w:val="en-US" w:eastAsia="zh-CN"/>
              </w:rPr>
              <w:t>响应</w:t>
            </w:r>
            <w:r>
              <w:rPr>
                <w:rFonts w:hint="eastAsia" w:ascii="宋体" w:hAnsi="宋体" w:eastAsia="宋体" w:cs="宋体"/>
                <w:b w:val="0"/>
                <w:bCs/>
                <w:color w:val="auto"/>
                <w:szCs w:val="21"/>
              </w:rPr>
              <w:t>截止时间当天查询结果为准，如相关失信记录已失效，报价人需提供相关证明资料。】</w:t>
            </w:r>
          </w:p>
          <w:p w14:paraId="178DAA19">
            <w:pPr>
              <w:snapToGrid w:val="0"/>
              <w:spacing w:line="440" w:lineRule="exact"/>
              <w:rPr>
                <w:rFonts w:ascii="宋体" w:hAnsi="宋体" w:cs="宋体"/>
                <w:bCs/>
                <w:color w:val="auto"/>
                <w:szCs w:val="21"/>
              </w:rPr>
            </w:pPr>
            <w:r>
              <w:rPr>
                <w:rFonts w:hint="eastAsia" w:ascii="宋体" w:hAnsi="宋体" w:eastAsia="宋体" w:cs="宋体"/>
                <w:b w:val="0"/>
                <w:bCs/>
                <w:color w:val="auto"/>
                <w:szCs w:val="21"/>
              </w:rPr>
              <w:t>（2）单位负责人为同一人或者存在直接控股、管理关系的不同</w:t>
            </w:r>
            <w:r>
              <w:rPr>
                <w:rFonts w:hint="eastAsia" w:ascii="宋体" w:hAnsi="宋体" w:eastAsia="宋体" w:cs="宋体"/>
                <w:b w:val="0"/>
                <w:bCs/>
                <w:color w:val="auto"/>
                <w:szCs w:val="21"/>
                <w:lang w:val="en-US" w:eastAsia="zh-CN"/>
              </w:rPr>
              <w:t>供应商</w:t>
            </w:r>
            <w:r>
              <w:rPr>
                <w:rFonts w:hint="eastAsia" w:ascii="宋体" w:hAnsi="宋体" w:eastAsia="宋体" w:cs="宋体"/>
                <w:b w:val="0"/>
                <w:bCs/>
                <w:color w:val="auto"/>
                <w:szCs w:val="21"/>
              </w:rPr>
              <w:t>，不得同时参加本采购项目（或采购包）投标（响应）。为本项目提供整体设计、规范编制或者项目管理、监理、检测等服务的</w:t>
            </w:r>
            <w:r>
              <w:rPr>
                <w:rFonts w:hint="eastAsia" w:ascii="宋体" w:hAnsi="宋体" w:eastAsia="宋体" w:cs="宋体"/>
                <w:b w:val="0"/>
                <w:bCs/>
                <w:color w:val="auto"/>
                <w:szCs w:val="21"/>
                <w:lang w:val="en-US" w:eastAsia="zh-CN"/>
              </w:rPr>
              <w:t>供应商</w:t>
            </w:r>
            <w:r>
              <w:rPr>
                <w:rFonts w:hint="eastAsia" w:ascii="宋体" w:hAnsi="宋体" w:eastAsia="宋体" w:cs="宋体"/>
                <w:b w:val="0"/>
                <w:bCs/>
                <w:color w:val="auto"/>
                <w:szCs w:val="21"/>
              </w:rPr>
              <w:t>，不得再参与本项目投标（响应）。【提供本</w:t>
            </w:r>
            <w:r>
              <w:rPr>
                <w:rFonts w:hint="eastAsia" w:ascii="宋体" w:hAnsi="宋体" w:eastAsia="宋体" w:cs="宋体"/>
                <w:b w:val="0"/>
                <w:bCs/>
                <w:color w:val="auto"/>
                <w:szCs w:val="21"/>
                <w:lang w:val="en-US" w:eastAsia="zh-CN"/>
              </w:rPr>
              <w:t>采购</w:t>
            </w:r>
            <w:r>
              <w:rPr>
                <w:rFonts w:hint="eastAsia" w:ascii="宋体" w:hAnsi="宋体" w:eastAsia="宋体" w:cs="宋体"/>
                <w:b w:val="0"/>
                <w:bCs/>
                <w:color w:val="auto"/>
                <w:szCs w:val="21"/>
              </w:rPr>
              <w:t>文件的第六章</w:t>
            </w:r>
            <w:r>
              <w:rPr>
                <w:rFonts w:hint="eastAsia" w:ascii="宋体" w:hAnsi="宋体" w:eastAsia="宋体" w:cs="宋体"/>
                <w:b w:val="0"/>
                <w:bCs/>
                <w:color w:val="auto"/>
                <w:szCs w:val="21"/>
                <w:lang w:val="en-US" w:eastAsia="zh-CN"/>
              </w:rPr>
              <w:t>响应</w:t>
            </w:r>
            <w:r>
              <w:rPr>
                <w:rFonts w:hint="eastAsia" w:ascii="宋体" w:hAnsi="宋体" w:eastAsia="宋体" w:cs="宋体"/>
                <w:b w:val="0"/>
                <w:bCs/>
                <w:color w:val="auto"/>
                <w:szCs w:val="21"/>
              </w:rPr>
              <w:t>文件格式《</w:t>
            </w:r>
            <w:r>
              <w:rPr>
                <w:rFonts w:hint="eastAsia" w:ascii="宋体" w:hAnsi="宋体" w:eastAsia="宋体" w:cs="宋体"/>
                <w:b w:val="0"/>
                <w:bCs/>
                <w:color w:val="auto"/>
                <w:szCs w:val="21"/>
                <w:lang w:val="en-US" w:eastAsia="zh-CN"/>
              </w:rPr>
              <w:t>磋商</w:t>
            </w:r>
            <w:r>
              <w:rPr>
                <w:rFonts w:hint="eastAsia" w:ascii="宋体" w:hAnsi="宋体" w:eastAsia="宋体" w:cs="宋体"/>
                <w:b w:val="0"/>
                <w:bCs/>
                <w:color w:val="auto"/>
                <w:szCs w:val="21"/>
              </w:rPr>
              <w:t>函》。】</w:t>
            </w:r>
          </w:p>
        </w:tc>
        <w:tc>
          <w:tcPr>
            <w:tcW w:w="1095" w:type="dxa"/>
            <w:vAlign w:val="center"/>
          </w:tcPr>
          <w:p w14:paraId="2B4ECC3F">
            <w:pPr>
              <w:keepNext w:val="0"/>
              <w:keepLines w:val="0"/>
              <w:pageBreakBefore w:val="0"/>
              <w:widowControl w:val="0"/>
              <w:kinsoku/>
              <w:wordWrap/>
              <w:overflowPunct/>
              <w:topLinePunct w:val="0"/>
              <w:bidi w:val="0"/>
              <w:adjustRightInd/>
              <w:spacing w:line="440" w:lineRule="exact"/>
              <w:jc w:val="left"/>
              <w:textAlignment w:val="auto"/>
              <w:rPr>
                <w:rFonts w:ascii="宋体" w:hAnsi="宋体" w:cs="宋体"/>
                <w:color w:val="auto"/>
                <w:szCs w:val="21"/>
              </w:rPr>
            </w:pPr>
            <w:r>
              <w:rPr>
                <w:rFonts w:hint="eastAsia" w:ascii="宋体" w:hAnsi="宋体" w:cs="宋体"/>
                <w:color w:val="auto"/>
                <w:szCs w:val="21"/>
              </w:rPr>
              <w:t>□通过     □不通过</w:t>
            </w:r>
          </w:p>
        </w:tc>
        <w:tc>
          <w:tcPr>
            <w:tcW w:w="1449" w:type="dxa"/>
            <w:vAlign w:val="center"/>
          </w:tcPr>
          <w:p w14:paraId="37C76D1C">
            <w:pPr>
              <w:keepNext w:val="0"/>
              <w:keepLines w:val="0"/>
              <w:pageBreakBefore w:val="0"/>
              <w:widowControl w:val="0"/>
              <w:kinsoku/>
              <w:wordWrap/>
              <w:overflowPunct/>
              <w:topLinePunct w:val="0"/>
              <w:bidi w:val="0"/>
              <w:adjustRightInd/>
              <w:spacing w:line="440" w:lineRule="exact"/>
              <w:jc w:val="center"/>
              <w:textAlignment w:val="auto"/>
              <w:rPr>
                <w:rFonts w:ascii="宋体" w:hAnsi="宋体" w:cs="宋体"/>
                <w:color w:val="auto"/>
                <w:szCs w:val="21"/>
              </w:rPr>
            </w:pPr>
            <w:r>
              <w:rPr>
                <w:rFonts w:hint="eastAsia" w:ascii="宋体" w:hAnsi="宋体" w:cs="宋体"/>
                <w:color w:val="auto"/>
                <w:szCs w:val="21"/>
              </w:rPr>
              <w:t>见响应文件第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2B5A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590" w:type="dxa"/>
            <w:vAlign w:val="center"/>
          </w:tcPr>
          <w:p w14:paraId="2F34A523">
            <w:pPr>
              <w:snapToGrid w:val="0"/>
              <w:spacing w:line="440" w:lineRule="exact"/>
              <w:ind w:firstLine="0" w:firstLineChars="0"/>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（3）检验单位资质需符合下列其中之一：</w:t>
            </w:r>
          </w:p>
          <w:p w14:paraId="674B31E3">
            <w:pPr>
              <w:snapToGrid w:val="0"/>
              <w:spacing w:line="440" w:lineRule="exact"/>
              <w:ind w:firstLine="0" w:firstLineChars="0"/>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1）检验单位如为医院单位的：须为卫生行政管理部门认定的二级（含）以上医院单位，且须具备有效期内的《医疗机构执业许可证》。</w:t>
            </w:r>
          </w:p>
          <w:p w14:paraId="754D1563">
            <w:pPr>
              <w:snapToGrid w:val="0"/>
              <w:spacing w:line="440" w:lineRule="exact"/>
              <w:ind w:firstLine="0" w:firstLineChars="0"/>
              <w:rPr>
                <w:rFonts w:hint="eastAsia" w:ascii="宋体" w:hAnsi="宋体" w:eastAsia="宋体" w:cs="宋体"/>
                <w:b w:val="0"/>
                <w:bCs/>
                <w:color w:val="auto"/>
                <w:szCs w:val="21"/>
              </w:rPr>
            </w:pPr>
            <w:r>
              <w:rPr>
                <w:rFonts w:hint="eastAsia" w:ascii="宋体" w:hAnsi="宋体" w:cs="宋体"/>
                <w:b w:val="0"/>
                <w:bCs/>
                <w:color w:val="auto"/>
                <w:szCs w:val="21"/>
                <w:lang w:val="en-US" w:eastAsia="zh-CN"/>
              </w:rPr>
              <w:t>2）检验单位如为第三方检验机构的须具备：有效期内的《医疗机构执业许可证》。</w:t>
            </w:r>
          </w:p>
        </w:tc>
        <w:tc>
          <w:tcPr>
            <w:tcW w:w="1095" w:type="dxa"/>
            <w:shd w:val="clear" w:color="auto" w:fill="auto"/>
            <w:vAlign w:val="center"/>
          </w:tcPr>
          <w:p w14:paraId="1EC50A0F">
            <w:pPr>
              <w:keepNext w:val="0"/>
              <w:keepLines w:val="0"/>
              <w:pageBreakBefore w:val="0"/>
              <w:widowControl w:val="0"/>
              <w:kinsoku/>
              <w:wordWrap/>
              <w:overflowPunct/>
              <w:topLinePunct w:val="0"/>
              <w:bidi w:val="0"/>
              <w:adjustRightInd/>
              <w:spacing w:line="44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□通过     □不通过</w:t>
            </w:r>
          </w:p>
        </w:tc>
        <w:tc>
          <w:tcPr>
            <w:tcW w:w="1449" w:type="dxa"/>
            <w:vAlign w:val="center"/>
          </w:tcPr>
          <w:p w14:paraId="2F8AA734">
            <w:pPr>
              <w:keepNext w:val="0"/>
              <w:keepLines w:val="0"/>
              <w:pageBreakBefore w:val="0"/>
              <w:widowControl w:val="0"/>
              <w:kinsoku/>
              <w:wordWrap/>
              <w:overflowPunct/>
              <w:topLinePunct w:val="0"/>
              <w:bidi w:val="0"/>
              <w:adjustRightInd/>
              <w:spacing w:line="440" w:lineRule="exact"/>
              <w:jc w:val="center"/>
              <w:textAlignment w:val="auto"/>
              <w:rPr>
                <w:rFonts w:hint="eastAsia" w:ascii="宋体" w:hAnsi="宋体" w:cs="宋体"/>
                <w:color w:val="auto"/>
                <w:szCs w:val="21"/>
              </w:rPr>
            </w:pPr>
            <w:r>
              <w:rPr>
                <w:rFonts w:hint="eastAsia" w:ascii="宋体" w:hAnsi="宋体" w:cs="宋体"/>
                <w:color w:val="auto"/>
                <w:szCs w:val="21"/>
              </w:rPr>
              <w:t>见响应文件第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3B68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590" w:type="dxa"/>
            <w:vAlign w:val="center"/>
          </w:tcPr>
          <w:p w14:paraId="14095BC5">
            <w:pPr>
              <w:snapToGrid w:val="0"/>
              <w:spacing w:line="440" w:lineRule="exact"/>
              <w:ind w:firstLine="0" w:firstLineChars="0"/>
              <w:rPr>
                <w:rFonts w:hint="eastAsia" w:ascii="宋体" w:hAnsi="宋体" w:eastAsia="宋体" w:cs="宋体"/>
                <w:b w:val="0"/>
                <w:bCs/>
                <w:color w:val="auto"/>
                <w:szCs w:val="21"/>
              </w:rPr>
            </w:pPr>
            <w:r>
              <w:rPr>
                <w:rFonts w:hint="eastAsia" w:ascii="宋体" w:hAnsi="宋体" w:cs="宋体"/>
                <w:b w:val="0"/>
                <w:bCs/>
                <w:color w:val="auto"/>
                <w:szCs w:val="21"/>
                <w:lang w:val="en-US" w:eastAsia="zh-CN"/>
              </w:rPr>
              <w:t xml:space="preserve">（4）检验单位近三年内须通过经国家卫生健康委员会认定的室间质量评价机构组织的临床检验室室间质量评价。【提供室间质量评价合格报告复印件】 </w:t>
            </w:r>
          </w:p>
        </w:tc>
        <w:tc>
          <w:tcPr>
            <w:tcW w:w="1095" w:type="dxa"/>
            <w:shd w:val="clear" w:color="auto" w:fill="auto"/>
            <w:vAlign w:val="center"/>
          </w:tcPr>
          <w:p w14:paraId="2DD211CD">
            <w:pPr>
              <w:keepNext w:val="0"/>
              <w:keepLines w:val="0"/>
              <w:pageBreakBefore w:val="0"/>
              <w:widowControl w:val="0"/>
              <w:kinsoku/>
              <w:wordWrap/>
              <w:overflowPunct/>
              <w:topLinePunct w:val="0"/>
              <w:bidi w:val="0"/>
              <w:adjustRightInd/>
              <w:spacing w:line="44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□通过     □不通过</w:t>
            </w:r>
          </w:p>
        </w:tc>
        <w:tc>
          <w:tcPr>
            <w:tcW w:w="1449" w:type="dxa"/>
            <w:vAlign w:val="center"/>
          </w:tcPr>
          <w:p w14:paraId="118EE626">
            <w:pPr>
              <w:keepNext w:val="0"/>
              <w:keepLines w:val="0"/>
              <w:pageBreakBefore w:val="0"/>
              <w:widowControl w:val="0"/>
              <w:kinsoku/>
              <w:wordWrap/>
              <w:overflowPunct/>
              <w:topLinePunct w:val="0"/>
              <w:bidi w:val="0"/>
              <w:adjustRightInd/>
              <w:spacing w:line="440" w:lineRule="exact"/>
              <w:jc w:val="center"/>
              <w:textAlignment w:val="auto"/>
              <w:rPr>
                <w:rFonts w:hint="eastAsia" w:ascii="宋体" w:hAnsi="宋体" w:cs="宋体"/>
                <w:color w:val="auto"/>
                <w:szCs w:val="21"/>
              </w:rPr>
            </w:pPr>
            <w:r>
              <w:rPr>
                <w:rFonts w:hint="eastAsia" w:ascii="宋体" w:hAnsi="宋体" w:cs="宋体"/>
                <w:color w:val="auto"/>
                <w:szCs w:val="21"/>
              </w:rPr>
              <w:t>见响应文件第</w:t>
            </w:r>
            <w:r>
              <w:rPr>
                <w:rFonts w:hint="eastAsia" w:ascii="宋体" w:hAnsi="宋体" w:cs="宋体"/>
                <w:color w:val="auto"/>
                <w:szCs w:val="21"/>
                <w:u w:val="single"/>
              </w:rPr>
              <w:t xml:space="preserve">   </w:t>
            </w:r>
            <w:r>
              <w:rPr>
                <w:rFonts w:hint="eastAsia" w:ascii="宋体" w:hAnsi="宋体" w:cs="宋体"/>
                <w:color w:val="auto"/>
                <w:szCs w:val="21"/>
              </w:rPr>
              <w:t>页</w:t>
            </w:r>
          </w:p>
        </w:tc>
      </w:tr>
    </w:tbl>
    <w:p w14:paraId="6E90957C">
      <w:pPr>
        <w:rPr>
          <w:rFonts w:ascii="宋体" w:hAnsi="宋体" w:cs="宋体"/>
          <w:b/>
          <w:color w:val="auto"/>
          <w:sz w:val="28"/>
          <w:szCs w:val="28"/>
        </w:rPr>
      </w:pPr>
      <w:r>
        <w:rPr>
          <w:rFonts w:hint="eastAsia" w:ascii="宋体" w:hAnsi="宋体" w:cs="宋体"/>
          <w:b/>
          <w:color w:val="auto"/>
          <w:sz w:val="28"/>
          <w:szCs w:val="28"/>
        </w:rPr>
        <w:br w:type="page"/>
      </w:r>
    </w:p>
    <w:p w14:paraId="3DC379ED">
      <w:pPr>
        <w:spacing w:line="500" w:lineRule="exact"/>
        <w:jc w:val="center"/>
        <w:rPr>
          <w:rFonts w:ascii="宋体" w:hAnsi="宋体" w:cs="宋体"/>
          <w:b/>
          <w:color w:val="auto"/>
          <w:sz w:val="28"/>
          <w:szCs w:val="28"/>
        </w:rPr>
      </w:pPr>
      <w:r>
        <w:rPr>
          <w:rFonts w:hint="eastAsia" w:ascii="宋体" w:hAnsi="宋体" w:cs="宋体"/>
          <w:b/>
          <w:color w:val="auto"/>
          <w:sz w:val="28"/>
          <w:szCs w:val="28"/>
        </w:rPr>
        <w:t>2、符合性自查表</w:t>
      </w:r>
    </w:p>
    <w:tbl>
      <w:tblPr>
        <w:tblStyle w:val="46"/>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0"/>
        <w:gridCol w:w="1276"/>
        <w:gridCol w:w="1417"/>
      </w:tblGrid>
      <w:tr w14:paraId="3AE8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60" w:type="dxa"/>
            <w:vAlign w:val="center"/>
          </w:tcPr>
          <w:p w14:paraId="4EF592D9">
            <w:pPr>
              <w:spacing w:line="380" w:lineRule="exact"/>
              <w:jc w:val="center"/>
              <w:rPr>
                <w:rFonts w:ascii="宋体" w:hAnsi="宋体" w:cs="宋体"/>
                <w:b/>
                <w:bCs/>
                <w:color w:val="auto"/>
                <w:szCs w:val="21"/>
              </w:rPr>
            </w:pPr>
            <w:r>
              <w:rPr>
                <w:rFonts w:hint="eastAsia" w:ascii="宋体" w:hAnsi="宋体" w:cs="宋体"/>
                <w:b/>
                <w:bCs/>
                <w:color w:val="auto"/>
                <w:szCs w:val="21"/>
              </w:rPr>
              <w:t>评审内容</w:t>
            </w:r>
          </w:p>
        </w:tc>
        <w:tc>
          <w:tcPr>
            <w:tcW w:w="1276" w:type="dxa"/>
            <w:vAlign w:val="center"/>
          </w:tcPr>
          <w:p w14:paraId="2D2358E5">
            <w:pPr>
              <w:spacing w:line="380" w:lineRule="exact"/>
              <w:jc w:val="center"/>
              <w:rPr>
                <w:rFonts w:ascii="宋体" w:hAnsi="宋体" w:cs="宋体"/>
                <w:b/>
                <w:bCs/>
                <w:color w:val="auto"/>
                <w:szCs w:val="21"/>
              </w:rPr>
            </w:pPr>
            <w:r>
              <w:rPr>
                <w:rFonts w:hint="eastAsia" w:ascii="宋体" w:hAnsi="宋体" w:cs="宋体"/>
                <w:b/>
                <w:bCs/>
                <w:color w:val="auto"/>
                <w:szCs w:val="21"/>
              </w:rPr>
              <w:t>自查结论</w:t>
            </w:r>
          </w:p>
        </w:tc>
        <w:tc>
          <w:tcPr>
            <w:tcW w:w="1417" w:type="dxa"/>
            <w:vAlign w:val="center"/>
          </w:tcPr>
          <w:p w14:paraId="5D3AC74C">
            <w:pPr>
              <w:spacing w:line="380" w:lineRule="exact"/>
              <w:jc w:val="center"/>
              <w:rPr>
                <w:rFonts w:ascii="宋体" w:hAnsi="宋体" w:cs="宋体"/>
                <w:b/>
                <w:bCs/>
                <w:color w:val="auto"/>
                <w:szCs w:val="21"/>
              </w:rPr>
            </w:pPr>
            <w:r>
              <w:rPr>
                <w:rFonts w:hint="eastAsia" w:ascii="宋体" w:hAnsi="宋体" w:cs="宋体"/>
                <w:b/>
                <w:bCs/>
                <w:color w:val="auto"/>
                <w:szCs w:val="21"/>
              </w:rPr>
              <w:t>证明材料</w:t>
            </w:r>
          </w:p>
        </w:tc>
      </w:tr>
      <w:tr w14:paraId="33AB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60" w:type="dxa"/>
            <w:vAlign w:val="center"/>
          </w:tcPr>
          <w:p w14:paraId="6DD49D23">
            <w:pPr>
              <w:rPr>
                <w:rFonts w:ascii="宋体" w:hAnsi="宋体" w:cs="宋体"/>
                <w:color w:val="auto"/>
                <w:szCs w:val="21"/>
              </w:rPr>
            </w:pPr>
            <w:r>
              <w:rPr>
                <w:rFonts w:hint="eastAsia" w:ascii="宋体" w:hAnsi="宋体" w:eastAsia="宋体" w:cs="宋体"/>
                <w:color w:val="auto"/>
                <w:kern w:val="2"/>
                <w:sz w:val="21"/>
                <w:szCs w:val="21"/>
                <w:lang w:val="en-US" w:eastAsia="zh-CN" w:bidi="ar-SA"/>
              </w:rPr>
              <w:t>1.按照采购文件的报价方式、报价要求进行了报价且报价方案是唯一确定。</w:t>
            </w:r>
          </w:p>
        </w:tc>
        <w:tc>
          <w:tcPr>
            <w:tcW w:w="1276" w:type="dxa"/>
            <w:vAlign w:val="center"/>
          </w:tcPr>
          <w:p w14:paraId="5F1B56C7">
            <w:pPr>
              <w:spacing w:line="380" w:lineRule="exact"/>
              <w:jc w:val="left"/>
              <w:rPr>
                <w:rFonts w:ascii="宋体" w:hAnsi="宋体" w:cs="宋体"/>
                <w:color w:val="auto"/>
                <w:szCs w:val="21"/>
              </w:rPr>
            </w:pPr>
            <w:r>
              <w:rPr>
                <w:rFonts w:hint="eastAsia" w:ascii="宋体" w:hAnsi="宋体" w:cs="宋体"/>
                <w:color w:val="auto"/>
                <w:szCs w:val="21"/>
              </w:rPr>
              <w:t>□通过     □不通过</w:t>
            </w:r>
          </w:p>
        </w:tc>
        <w:tc>
          <w:tcPr>
            <w:tcW w:w="1417" w:type="dxa"/>
            <w:vAlign w:val="center"/>
          </w:tcPr>
          <w:p w14:paraId="03F8B371">
            <w:pPr>
              <w:spacing w:line="380" w:lineRule="exact"/>
              <w:jc w:val="center"/>
              <w:rPr>
                <w:rFonts w:ascii="宋体" w:hAnsi="宋体" w:cs="宋体"/>
                <w:color w:val="auto"/>
                <w:szCs w:val="21"/>
              </w:rPr>
            </w:pPr>
            <w:r>
              <w:rPr>
                <w:rFonts w:hint="eastAsia" w:ascii="宋体" w:hAnsi="宋体" w:cs="宋体"/>
                <w:color w:val="auto"/>
                <w:szCs w:val="21"/>
              </w:rPr>
              <w:t>见响应文件第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2CA1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060" w:type="dxa"/>
            <w:vAlign w:val="center"/>
          </w:tcPr>
          <w:p w14:paraId="30EE8433">
            <w:pPr>
              <w:rPr>
                <w:rFonts w:ascii="宋体" w:hAnsi="宋体" w:cs="宋体"/>
                <w:color w:val="auto"/>
                <w:szCs w:val="21"/>
              </w:rPr>
            </w:pPr>
            <w:r>
              <w:rPr>
                <w:rFonts w:hint="eastAsia" w:ascii="宋体" w:hAnsi="宋体" w:cs="宋体"/>
                <w:color w:val="auto"/>
                <w:szCs w:val="21"/>
              </w:rPr>
              <w:t>2.已提交磋商函。</w:t>
            </w:r>
          </w:p>
        </w:tc>
        <w:tc>
          <w:tcPr>
            <w:tcW w:w="1276" w:type="dxa"/>
            <w:vAlign w:val="center"/>
          </w:tcPr>
          <w:p w14:paraId="5C586E56">
            <w:pPr>
              <w:spacing w:line="380" w:lineRule="exact"/>
              <w:jc w:val="left"/>
              <w:rPr>
                <w:rFonts w:ascii="宋体" w:hAnsi="宋体" w:cs="宋体"/>
                <w:color w:val="auto"/>
                <w:szCs w:val="21"/>
              </w:rPr>
            </w:pPr>
            <w:r>
              <w:rPr>
                <w:rFonts w:hint="eastAsia" w:ascii="宋体" w:hAnsi="宋体" w:cs="宋体"/>
                <w:color w:val="auto"/>
                <w:szCs w:val="21"/>
              </w:rPr>
              <w:t>□通过     □不通过</w:t>
            </w:r>
          </w:p>
        </w:tc>
        <w:tc>
          <w:tcPr>
            <w:tcW w:w="1417" w:type="dxa"/>
            <w:vAlign w:val="center"/>
          </w:tcPr>
          <w:p w14:paraId="356F8DD8">
            <w:pPr>
              <w:spacing w:line="380" w:lineRule="exact"/>
              <w:jc w:val="center"/>
              <w:rPr>
                <w:rFonts w:ascii="宋体" w:hAnsi="宋体" w:cs="宋体"/>
                <w:color w:val="auto"/>
                <w:szCs w:val="21"/>
              </w:rPr>
            </w:pPr>
            <w:r>
              <w:rPr>
                <w:rFonts w:hint="eastAsia" w:ascii="宋体" w:hAnsi="宋体" w:cs="宋体"/>
                <w:color w:val="auto"/>
                <w:szCs w:val="21"/>
              </w:rPr>
              <w:t>见响应文件第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6EA7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060" w:type="dxa"/>
            <w:vAlign w:val="center"/>
          </w:tcPr>
          <w:p w14:paraId="1824D44A">
            <w:pPr>
              <w:rPr>
                <w:rFonts w:ascii="宋体" w:hAnsi="宋体" w:cs="宋体"/>
                <w:color w:val="auto"/>
                <w:szCs w:val="21"/>
              </w:rPr>
            </w:pPr>
            <w:r>
              <w:rPr>
                <w:rFonts w:hint="eastAsia" w:ascii="宋体" w:hAnsi="宋体" w:cs="宋体"/>
                <w:color w:val="auto"/>
                <w:szCs w:val="21"/>
              </w:rPr>
              <w:t>3.已按</w:t>
            </w:r>
            <w:r>
              <w:rPr>
                <w:rFonts w:hint="eastAsia" w:ascii="宋体" w:hAnsi="宋体" w:cs="宋体"/>
                <w:color w:val="auto"/>
                <w:szCs w:val="21"/>
                <w:lang w:eastAsia="zh-CN"/>
              </w:rPr>
              <w:t>采购文件</w:t>
            </w:r>
            <w:r>
              <w:rPr>
                <w:rFonts w:hint="eastAsia" w:ascii="宋体" w:hAnsi="宋体" w:cs="宋体"/>
                <w:color w:val="auto"/>
                <w:szCs w:val="21"/>
              </w:rPr>
              <w:t>要求提供法定代表人/负责人证明书及授权委托书的。</w:t>
            </w:r>
          </w:p>
        </w:tc>
        <w:tc>
          <w:tcPr>
            <w:tcW w:w="1276" w:type="dxa"/>
            <w:vAlign w:val="center"/>
          </w:tcPr>
          <w:p w14:paraId="460D2F5F">
            <w:pPr>
              <w:spacing w:line="380" w:lineRule="exact"/>
              <w:jc w:val="left"/>
              <w:rPr>
                <w:rFonts w:ascii="宋体" w:hAnsi="宋体" w:cs="宋体"/>
                <w:color w:val="auto"/>
                <w:szCs w:val="21"/>
              </w:rPr>
            </w:pPr>
            <w:r>
              <w:rPr>
                <w:rFonts w:hint="eastAsia" w:ascii="宋体" w:hAnsi="宋体" w:cs="宋体"/>
                <w:color w:val="auto"/>
                <w:szCs w:val="21"/>
              </w:rPr>
              <w:t>□通过     □不通过</w:t>
            </w:r>
          </w:p>
        </w:tc>
        <w:tc>
          <w:tcPr>
            <w:tcW w:w="1417" w:type="dxa"/>
            <w:vAlign w:val="center"/>
          </w:tcPr>
          <w:p w14:paraId="5FD61EB9">
            <w:pPr>
              <w:spacing w:line="380" w:lineRule="exact"/>
              <w:jc w:val="center"/>
              <w:rPr>
                <w:rFonts w:ascii="宋体" w:hAnsi="宋体" w:cs="宋体"/>
                <w:color w:val="auto"/>
                <w:szCs w:val="21"/>
              </w:rPr>
            </w:pPr>
            <w:r>
              <w:rPr>
                <w:rFonts w:hint="eastAsia" w:ascii="宋体" w:hAnsi="宋体" w:cs="宋体"/>
                <w:color w:val="auto"/>
                <w:szCs w:val="21"/>
              </w:rPr>
              <w:t>见响应文件第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2EE1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060" w:type="dxa"/>
            <w:vAlign w:val="center"/>
          </w:tcPr>
          <w:p w14:paraId="2A3BC2D3">
            <w:pPr>
              <w:rPr>
                <w:rFonts w:ascii="宋体" w:hAnsi="宋体" w:cs="宋体"/>
                <w:color w:val="auto"/>
                <w:szCs w:val="21"/>
              </w:rPr>
            </w:pPr>
            <w:r>
              <w:rPr>
                <w:rFonts w:hint="eastAsia" w:ascii="宋体" w:hAnsi="宋体" w:cs="宋体"/>
                <w:color w:val="auto"/>
                <w:szCs w:val="21"/>
              </w:rPr>
              <w:t>4.响应文件有效期为</w:t>
            </w:r>
            <w:r>
              <w:rPr>
                <w:rFonts w:hint="eastAsia" w:ascii="宋体" w:hAnsi="宋体" w:cs="宋体"/>
                <w:color w:val="auto"/>
                <w:szCs w:val="21"/>
                <w:lang w:val="en-US" w:eastAsia="zh-CN"/>
              </w:rPr>
              <w:t>响应</w:t>
            </w:r>
            <w:r>
              <w:rPr>
                <w:rFonts w:hint="eastAsia" w:ascii="宋体" w:hAnsi="宋体" w:cs="宋体"/>
                <w:color w:val="auto"/>
                <w:szCs w:val="21"/>
              </w:rPr>
              <w:t>截止日起至少90日历天。</w:t>
            </w:r>
          </w:p>
        </w:tc>
        <w:tc>
          <w:tcPr>
            <w:tcW w:w="1276" w:type="dxa"/>
            <w:vAlign w:val="center"/>
          </w:tcPr>
          <w:p w14:paraId="61CF4523">
            <w:pPr>
              <w:spacing w:line="380" w:lineRule="exact"/>
              <w:jc w:val="left"/>
              <w:rPr>
                <w:rFonts w:ascii="宋体" w:hAnsi="宋体" w:cs="宋体"/>
                <w:color w:val="auto"/>
                <w:szCs w:val="21"/>
              </w:rPr>
            </w:pPr>
            <w:r>
              <w:rPr>
                <w:rFonts w:hint="eastAsia" w:ascii="宋体" w:hAnsi="宋体" w:cs="宋体"/>
                <w:color w:val="auto"/>
                <w:szCs w:val="21"/>
              </w:rPr>
              <w:t>□通过     □不通过</w:t>
            </w:r>
          </w:p>
        </w:tc>
        <w:tc>
          <w:tcPr>
            <w:tcW w:w="1417" w:type="dxa"/>
            <w:vAlign w:val="center"/>
          </w:tcPr>
          <w:p w14:paraId="74A9633D">
            <w:pPr>
              <w:spacing w:line="380" w:lineRule="exact"/>
              <w:jc w:val="center"/>
              <w:rPr>
                <w:rFonts w:ascii="宋体" w:hAnsi="宋体" w:cs="宋体"/>
                <w:color w:val="auto"/>
                <w:szCs w:val="21"/>
              </w:rPr>
            </w:pPr>
            <w:r>
              <w:rPr>
                <w:rFonts w:hint="eastAsia" w:ascii="宋体" w:hAnsi="宋体" w:cs="宋体"/>
                <w:color w:val="auto"/>
                <w:szCs w:val="21"/>
              </w:rPr>
              <w:t>见响应文件第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199D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060" w:type="dxa"/>
            <w:vAlign w:val="center"/>
          </w:tcPr>
          <w:p w14:paraId="47D724C2">
            <w:pPr>
              <w:rPr>
                <w:rFonts w:ascii="宋体" w:hAnsi="宋体" w:cs="宋体"/>
                <w:color w:val="auto"/>
                <w:szCs w:val="21"/>
              </w:rPr>
            </w:pPr>
            <w:r>
              <w:rPr>
                <w:rFonts w:hint="eastAsia" w:ascii="宋体" w:hAnsi="宋体" w:cs="宋体"/>
                <w:color w:val="auto"/>
                <w:szCs w:val="21"/>
              </w:rPr>
              <w:t>5.满足</w:t>
            </w:r>
            <w:r>
              <w:rPr>
                <w:rFonts w:hint="eastAsia" w:ascii="宋体" w:hAnsi="宋体" w:cs="宋体"/>
                <w:color w:val="auto"/>
                <w:szCs w:val="21"/>
                <w:lang w:eastAsia="zh-CN"/>
              </w:rPr>
              <w:t>采购文件</w:t>
            </w:r>
            <w:r>
              <w:rPr>
                <w:rFonts w:hint="eastAsia" w:ascii="宋体" w:hAnsi="宋体" w:cs="宋体"/>
                <w:color w:val="auto"/>
                <w:szCs w:val="21"/>
              </w:rPr>
              <w:t>中带★号的条款和指标，且符合</w:t>
            </w:r>
            <w:r>
              <w:rPr>
                <w:rFonts w:hint="eastAsia" w:ascii="宋体" w:hAnsi="宋体" w:cs="宋体"/>
                <w:color w:val="auto"/>
                <w:szCs w:val="21"/>
                <w:lang w:eastAsia="zh-CN"/>
              </w:rPr>
              <w:t>采购文件</w:t>
            </w:r>
            <w:r>
              <w:rPr>
                <w:rFonts w:hint="eastAsia" w:ascii="宋体" w:hAnsi="宋体" w:cs="宋体"/>
                <w:color w:val="auto"/>
                <w:szCs w:val="21"/>
              </w:rPr>
              <w:t>的其他要求，没有重大偏离的。</w:t>
            </w:r>
          </w:p>
        </w:tc>
        <w:tc>
          <w:tcPr>
            <w:tcW w:w="1276" w:type="dxa"/>
            <w:vAlign w:val="center"/>
          </w:tcPr>
          <w:p w14:paraId="2B2536C5">
            <w:pPr>
              <w:spacing w:line="380" w:lineRule="exact"/>
              <w:jc w:val="left"/>
              <w:rPr>
                <w:rFonts w:ascii="宋体" w:hAnsi="宋体" w:cs="宋体"/>
                <w:color w:val="auto"/>
                <w:szCs w:val="21"/>
              </w:rPr>
            </w:pPr>
            <w:r>
              <w:rPr>
                <w:rFonts w:hint="eastAsia" w:ascii="宋体" w:hAnsi="宋体" w:cs="宋体"/>
                <w:color w:val="auto"/>
                <w:szCs w:val="21"/>
              </w:rPr>
              <w:t>□通过     □不通过</w:t>
            </w:r>
          </w:p>
        </w:tc>
        <w:tc>
          <w:tcPr>
            <w:tcW w:w="1417" w:type="dxa"/>
            <w:vAlign w:val="center"/>
          </w:tcPr>
          <w:p w14:paraId="4B111AE6">
            <w:pPr>
              <w:spacing w:line="380" w:lineRule="exact"/>
              <w:jc w:val="center"/>
              <w:rPr>
                <w:rFonts w:ascii="宋体" w:hAnsi="宋体" w:cs="宋体"/>
                <w:color w:val="auto"/>
                <w:szCs w:val="21"/>
              </w:rPr>
            </w:pPr>
            <w:r>
              <w:rPr>
                <w:rFonts w:hint="eastAsia" w:ascii="宋体" w:hAnsi="宋体" w:cs="宋体"/>
                <w:color w:val="auto"/>
                <w:szCs w:val="21"/>
              </w:rPr>
              <w:t>见响应文件第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766C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60" w:type="dxa"/>
            <w:vAlign w:val="center"/>
          </w:tcPr>
          <w:p w14:paraId="2498D38E">
            <w:pPr>
              <w:rPr>
                <w:rFonts w:ascii="宋体" w:hAnsi="宋体" w:cs="宋体"/>
                <w:color w:val="auto"/>
                <w:szCs w:val="21"/>
              </w:rPr>
            </w:pPr>
            <w:r>
              <w:rPr>
                <w:rFonts w:hint="eastAsia" w:ascii="宋体" w:hAnsi="宋体" w:cs="宋体"/>
                <w:color w:val="auto"/>
                <w:szCs w:val="21"/>
              </w:rPr>
              <w:t>6.符合</w:t>
            </w:r>
            <w:r>
              <w:rPr>
                <w:rFonts w:hint="eastAsia" w:ascii="宋体" w:hAnsi="宋体" w:cs="宋体"/>
                <w:color w:val="auto"/>
                <w:szCs w:val="21"/>
                <w:lang w:eastAsia="zh-CN"/>
              </w:rPr>
              <w:t>采购文件</w:t>
            </w:r>
            <w:r>
              <w:rPr>
                <w:rFonts w:hint="eastAsia" w:ascii="宋体" w:hAnsi="宋体" w:cs="宋体"/>
                <w:color w:val="auto"/>
                <w:szCs w:val="21"/>
              </w:rPr>
              <w:t>规定的签署、盖章要求。</w:t>
            </w:r>
          </w:p>
        </w:tc>
        <w:tc>
          <w:tcPr>
            <w:tcW w:w="1276" w:type="dxa"/>
            <w:vAlign w:val="center"/>
          </w:tcPr>
          <w:p w14:paraId="55D042C4">
            <w:pPr>
              <w:spacing w:line="380" w:lineRule="exact"/>
              <w:jc w:val="left"/>
              <w:rPr>
                <w:rFonts w:ascii="宋体" w:hAnsi="宋体" w:cs="宋体"/>
                <w:color w:val="auto"/>
                <w:szCs w:val="21"/>
              </w:rPr>
            </w:pPr>
            <w:r>
              <w:rPr>
                <w:rFonts w:hint="eastAsia" w:ascii="宋体" w:hAnsi="宋体" w:cs="宋体"/>
                <w:color w:val="auto"/>
                <w:szCs w:val="21"/>
              </w:rPr>
              <w:t>□通过     □不通过</w:t>
            </w:r>
          </w:p>
        </w:tc>
        <w:tc>
          <w:tcPr>
            <w:tcW w:w="1417" w:type="dxa"/>
            <w:vAlign w:val="center"/>
          </w:tcPr>
          <w:p w14:paraId="4DCB4A66">
            <w:pPr>
              <w:spacing w:line="380" w:lineRule="exact"/>
              <w:jc w:val="center"/>
              <w:rPr>
                <w:rFonts w:ascii="宋体" w:hAnsi="宋体" w:cs="宋体"/>
                <w:color w:val="auto"/>
                <w:szCs w:val="21"/>
              </w:rPr>
            </w:pPr>
            <w:r>
              <w:rPr>
                <w:rFonts w:hint="eastAsia" w:ascii="宋体" w:hAnsi="宋体" w:cs="宋体"/>
                <w:color w:val="auto"/>
                <w:szCs w:val="21"/>
              </w:rPr>
              <w:t>/</w:t>
            </w:r>
          </w:p>
        </w:tc>
      </w:tr>
      <w:tr w14:paraId="28C4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60" w:type="dxa"/>
            <w:vAlign w:val="center"/>
          </w:tcPr>
          <w:p w14:paraId="0112D66F">
            <w:pPr>
              <w:rPr>
                <w:rFonts w:ascii="宋体" w:hAnsi="宋体" w:cs="宋体"/>
                <w:color w:val="auto"/>
                <w:szCs w:val="21"/>
              </w:rPr>
            </w:pPr>
            <w:r>
              <w:rPr>
                <w:rFonts w:hint="eastAsia" w:ascii="宋体" w:hAnsi="宋体" w:cs="宋体"/>
                <w:color w:val="auto"/>
                <w:szCs w:val="21"/>
              </w:rPr>
              <w:t>7.未发现供应商串通投标情形的。</w:t>
            </w:r>
          </w:p>
        </w:tc>
        <w:tc>
          <w:tcPr>
            <w:tcW w:w="1276" w:type="dxa"/>
            <w:vAlign w:val="center"/>
          </w:tcPr>
          <w:p w14:paraId="6D00403F">
            <w:pPr>
              <w:spacing w:line="380" w:lineRule="exact"/>
              <w:jc w:val="left"/>
              <w:rPr>
                <w:rFonts w:ascii="宋体" w:hAnsi="宋体" w:cs="宋体"/>
                <w:color w:val="auto"/>
                <w:szCs w:val="21"/>
              </w:rPr>
            </w:pPr>
            <w:r>
              <w:rPr>
                <w:rFonts w:hint="eastAsia" w:ascii="宋体" w:hAnsi="宋体" w:cs="宋体"/>
                <w:color w:val="auto"/>
                <w:szCs w:val="21"/>
              </w:rPr>
              <w:t>□通过     □不通过</w:t>
            </w:r>
          </w:p>
        </w:tc>
        <w:tc>
          <w:tcPr>
            <w:tcW w:w="1417" w:type="dxa"/>
            <w:vAlign w:val="center"/>
          </w:tcPr>
          <w:p w14:paraId="3371DDF3">
            <w:pPr>
              <w:spacing w:line="380" w:lineRule="exact"/>
              <w:jc w:val="center"/>
              <w:rPr>
                <w:rFonts w:ascii="宋体" w:hAnsi="宋体" w:cs="宋体"/>
                <w:color w:val="auto"/>
                <w:szCs w:val="21"/>
              </w:rPr>
            </w:pPr>
            <w:r>
              <w:rPr>
                <w:rFonts w:hint="eastAsia" w:ascii="宋体" w:hAnsi="宋体" w:cs="宋体"/>
                <w:color w:val="auto"/>
                <w:szCs w:val="21"/>
              </w:rPr>
              <w:t>/</w:t>
            </w:r>
          </w:p>
        </w:tc>
      </w:tr>
      <w:tr w14:paraId="01A7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060" w:type="dxa"/>
            <w:vAlign w:val="center"/>
          </w:tcPr>
          <w:p w14:paraId="4AA823E1">
            <w:pPr>
              <w:rPr>
                <w:rFonts w:ascii="宋体" w:hAnsi="宋体" w:cs="宋体"/>
                <w:color w:val="auto"/>
                <w:szCs w:val="21"/>
              </w:rPr>
            </w:pPr>
            <w:r>
              <w:rPr>
                <w:rFonts w:hint="eastAsia" w:ascii="宋体" w:hAnsi="宋体" w:cs="宋体"/>
                <w:color w:val="auto"/>
                <w:szCs w:val="21"/>
              </w:rPr>
              <w:t>8.供应商按磋商小组要求提交了经授权代表签名的澄清、说明、补正文件，且无改变响应文件实质性内容。</w:t>
            </w:r>
          </w:p>
        </w:tc>
        <w:tc>
          <w:tcPr>
            <w:tcW w:w="1276" w:type="dxa"/>
            <w:vAlign w:val="center"/>
          </w:tcPr>
          <w:p w14:paraId="13263BD3">
            <w:pPr>
              <w:spacing w:line="380" w:lineRule="exact"/>
              <w:jc w:val="left"/>
              <w:rPr>
                <w:rFonts w:ascii="宋体" w:hAnsi="宋体" w:cs="宋体"/>
                <w:color w:val="auto"/>
                <w:szCs w:val="21"/>
              </w:rPr>
            </w:pPr>
            <w:r>
              <w:rPr>
                <w:rFonts w:hint="eastAsia" w:ascii="宋体" w:hAnsi="宋体" w:cs="宋体"/>
                <w:color w:val="auto"/>
                <w:szCs w:val="21"/>
              </w:rPr>
              <w:t>□通过     □不通过</w:t>
            </w:r>
          </w:p>
        </w:tc>
        <w:tc>
          <w:tcPr>
            <w:tcW w:w="1417" w:type="dxa"/>
            <w:vAlign w:val="center"/>
          </w:tcPr>
          <w:p w14:paraId="0FA2BDAB">
            <w:pPr>
              <w:spacing w:line="380" w:lineRule="exact"/>
              <w:jc w:val="center"/>
              <w:rPr>
                <w:rFonts w:ascii="宋体" w:hAnsi="宋体" w:cs="宋体"/>
                <w:color w:val="auto"/>
                <w:szCs w:val="21"/>
              </w:rPr>
            </w:pPr>
            <w:r>
              <w:rPr>
                <w:rFonts w:hint="eastAsia" w:ascii="宋体" w:hAnsi="宋体" w:cs="宋体"/>
                <w:color w:val="auto"/>
                <w:szCs w:val="21"/>
              </w:rPr>
              <w:t>/</w:t>
            </w:r>
          </w:p>
        </w:tc>
      </w:tr>
      <w:tr w14:paraId="012D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60" w:type="dxa"/>
            <w:vAlign w:val="center"/>
          </w:tcPr>
          <w:p w14:paraId="2FFA83C9">
            <w:pPr>
              <w:rPr>
                <w:rFonts w:ascii="宋体" w:hAnsi="宋体" w:cs="宋体"/>
                <w:color w:val="auto"/>
                <w:szCs w:val="21"/>
              </w:rPr>
            </w:pPr>
            <w:r>
              <w:rPr>
                <w:rFonts w:hint="eastAsia" w:ascii="宋体" w:hAnsi="宋体" w:cs="宋体"/>
                <w:color w:val="auto"/>
                <w:szCs w:val="21"/>
              </w:rPr>
              <w:t>9.响应文件未含有采购人不能接受的附加条件的。</w:t>
            </w:r>
          </w:p>
        </w:tc>
        <w:tc>
          <w:tcPr>
            <w:tcW w:w="1276" w:type="dxa"/>
            <w:vAlign w:val="center"/>
          </w:tcPr>
          <w:p w14:paraId="7337D54E">
            <w:pPr>
              <w:spacing w:line="380" w:lineRule="exact"/>
              <w:jc w:val="left"/>
              <w:rPr>
                <w:rFonts w:ascii="宋体" w:hAnsi="宋体" w:cs="宋体"/>
                <w:color w:val="auto"/>
                <w:szCs w:val="21"/>
              </w:rPr>
            </w:pPr>
            <w:r>
              <w:rPr>
                <w:rFonts w:hint="eastAsia" w:ascii="宋体" w:hAnsi="宋体" w:cs="宋体"/>
                <w:color w:val="auto"/>
                <w:szCs w:val="21"/>
              </w:rPr>
              <w:t>□通过     □不通过</w:t>
            </w:r>
          </w:p>
        </w:tc>
        <w:tc>
          <w:tcPr>
            <w:tcW w:w="1417" w:type="dxa"/>
            <w:vAlign w:val="center"/>
          </w:tcPr>
          <w:p w14:paraId="1ACB25EA">
            <w:pPr>
              <w:spacing w:line="380" w:lineRule="exact"/>
              <w:jc w:val="center"/>
              <w:rPr>
                <w:rFonts w:ascii="宋体" w:hAnsi="宋体" w:cs="宋体"/>
                <w:color w:val="auto"/>
                <w:szCs w:val="21"/>
              </w:rPr>
            </w:pPr>
            <w:r>
              <w:rPr>
                <w:rFonts w:hint="eastAsia" w:ascii="宋体" w:hAnsi="宋体" w:cs="宋体"/>
                <w:color w:val="auto"/>
                <w:szCs w:val="21"/>
              </w:rPr>
              <w:t>/</w:t>
            </w:r>
          </w:p>
        </w:tc>
      </w:tr>
      <w:tr w14:paraId="7B95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60" w:type="dxa"/>
            <w:vAlign w:val="center"/>
          </w:tcPr>
          <w:p w14:paraId="77E40740">
            <w:pPr>
              <w:rPr>
                <w:rFonts w:ascii="宋体" w:hAnsi="宋体" w:cs="宋体"/>
                <w:color w:val="auto"/>
                <w:szCs w:val="21"/>
              </w:rPr>
            </w:pPr>
            <w:r>
              <w:rPr>
                <w:rFonts w:hint="eastAsia" w:ascii="宋体" w:hAnsi="宋体" w:cs="宋体"/>
                <w:color w:val="auto"/>
                <w:szCs w:val="21"/>
              </w:rPr>
              <w:t>10.未发现响应文件提供虚假材料的。</w:t>
            </w:r>
          </w:p>
        </w:tc>
        <w:tc>
          <w:tcPr>
            <w:tcW w:w="1276" w:type="dxa"/>
            <w:vAlign w:val="center"/>
          </w:tcPr>
          <w:p w14:paraId="42B692CA">
            <w:pPr>
              <w:spacing w:line="380" w:lineRule="exact"/>
              <w:jc w:val="left"/>
              <w:rPr>
                <w:rFonts w:ascii="宋体" w:hAnsi="宋体" w:cs="宋体"/>
                <w:color w:val="auto"/>
                <w:szCs w:val="21"/>
              </w:rPr>
            </w:pPr>
            <w:r>
              <w:rPr>
                <w:rFonts w:hint="eastAsia" w:ascii="宋体" w:hAnsi="宋体" w:cs="宋体"/>
                <w:color w:val="auto"/>
                <w:szCs w:val="21"/>
              </w:rPr>
              <w:t>□通过     □不通过</w:t>
            </w:r>
          </w:p>
        </w:tc>
        <w:tc>
          <w:tcPr>
            <w:tcW w:w="1417" w:type="dxa"/>
            <w:vAlign w:val="center"/>
          </w:tcPr>
          <w:p w14:paraId="3FCB7B6B">
            <w:pPr>
              <w:spacing w:line="380" w:lineRule="exact"/>
              <w:jc w:val="center"/>
              <w:rPr>
                <w:rFonts w:ascii="宋体" w:hAnsi="宋体" w:cs="宋体"/>
                <w:color w:val="auto"/>
                <w:szCs w:val="21"/>
              </w:rPr>
            </w:pPr>
            <w:r>
              <w:rPr>
                <w:rFonts w:hint="eastAsia" w:ascii="宋体" w:hAnsi="宋体" w:cs="宋体"/>
                <w:color w:val="auto"/>
                <w:szCs w:val="21"/>
              </w:rPr>
              <w:t>/</w:t>
            </w:r>
          </w:p>
        </w:tc>
      </w:tr>
      <w:tr w14:paraId="5A29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060" w:type="dxa"/>
            <w:vAlign w:val="center"/>
          </w:tcPr>
          <w:p w14:paraId="784D0BE7">
            <w:pPr>
              <w:rPr>
                <w:rFonts w:ascii="宋体" w:hAnsi="宋体" w:cs="宋体"/>
                <w:color w:val="auto"/>
                <w:szCs w:val="21"/>
              </w:rPr>
            </w:pPr>
            <w:r>
              <w:rPr>
                <w:rFonts w:hint="eastAsia" w:ascii="宋体" w:hAnsi="宋体" w:cs="宋体"/>
                <w:color w:val="auto"/>
                <w:szCs w:val="21"/>
              </w:rPr>
              <w:t>11.未发现供应商对采购人、采购代理机构、磋商小组成员施加影响，有碍公开、公平、公正情形的。</w:t>
            </w:r>
          </w:p>
        </w:tc>
        <w:tc>
          <w:tcPr>
            <w:tcW w:w="1276" w:type="dxa"/>
            <w:vAlign w:val="center"/>
          </w:tcPr>
          <w:p w14:paraId="37CFD528">
            <w:pPr>
              <w:spacing w:line="380" w:lineRule="exact"/>
              <w:jc w:val="left"/>
              <w:rPr>
                <w:rFonts w:ascii="宋体" w:hAnsi="宋体" w:cs="宋体"/>
                <w:color w:val="auto"/>
                <w:szCs w:val="21"/>
              </w:rPr>
            </w:pPr>
            <w:r>
              <w:rPr>
                <w:rFonts w:hint="eastAsia" w:ascii="宋体" w:hAnsi="宋体" w:cs="宋体"/>
                <w:color w:val="auto"/>
                <w:szCs w:val="21"/>
              </w:rPr>
              <w:t>□通过     □不通过</w:t>
            </w:r>
          </w:p>
        </w:tc>
        <w:tc>
          <w:tcPr>
            <w:tcW w:w="1417" w:type="dxa"/>
            <w:vAlign w:val="center"/>
          </w:tcPr>
          <w:p w14:paraId="4D947D4D">
            <w:pPr>
              <w:spacing w:line="380" w:lineRule="exact"/>
              <w:jc w:val="center"/>
              <w:rPr>
                <w:rFonts w:ascii="宋体" w:hAnsi="宋体" w:cs="宋体"/>
                <w:color w:val="auto"/>
                <w:szCs w:val="21"/>
              </w:rPr>
            </w:pPr>
            <w:r>
              <w:rPr>
                <w:rFonts w:hint="eastAsia" w:ascii="宋体" w:hAnsi="宋体" w:cs="宋体"/>
                <w:color w:val="auto"/>
                <w:szCs w:val="21"/>
              </w:rPr>
              <w:t>/</w:t>
            </w:r>
          </w:p>
        </w:tc>
      </w:tr>
      <w:tr w14:paraId="4117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60" w:type="dxa"/>
            <w:vAlign w:val="center"/>
          </w:tcPr>
          <w:p w14:paraId="0C5675E0">
            <w:pPr>
              <w:rPr>
                <w:rFonts w:ascii="宋体" w:hAnsi="宋体" w:cs="宋体"/>
                <w:color w:val="auto"/>
                <w:szCs w:val="21"/>
              </w:rPr>
            </w:pPr>
            <w:r>
              <w:rPr>
                <w:rFonts w:hint="eastAsia" w:ascii="宋体" w:hAnsi="宋体" w:cs="宋体"/>
                <w:color w:val="auto"/>
                <w:szCs w:val="21"/>
              </w:rPr>
              <w:t>12.法律、法规和</w:t>
            </w:r>
            <w:r>
              <w:rPr>
                <w:rFonts w:hint="eastAsia" w:ascii="宋体" w:hAnsi="宋体" w:cs="宋体"/>
                <w:color w:val="auto"/>
                <w:szCs w:val="21"/>
                <w:lang w:eastAsia="zh-CN"/>
              </w:rPr>
              <w:t>采购文件</w:t>
            </w:r>
            <w:r>
              <w:rPr>
                <w:rFonts w:hint="eastAsia" w:ascii="宋体" w:hAnsi="宋体" w:cs="宋体"/>
                <w:color w:val="auto"/>
                <w:szCs w:val="21"/>
              </w:rPr>
              <w:t>规定的其他无效情形。</w:t>
            </w:r>
          </w:p>
        </w:tc>
        <w:tc>
          <w:tcPr>
            <w:tcW w:w="1276" w:type="dxa"/>
            <w:vAlign w:val="center"/>
          </w:tcPr>
          <w:p w14:paraId="155A12E0">
            <w:pPr>
              <w:spacing w:line="380" w:lineRule="exact"/>
              <w:jc w:val="left"/>
              <w:rPr>
                <w:rFonts w:ascii="宋体" w:hAnsi="宋体" w:cs="宋体"/>
                <w:color w:val="auto"/>
                <w:szCs w:val="21"/>
              </w:rPr>
            </w:pPr>
            <w:r>
              <w:rPr>
                <w:rFonts w:hint="eastAsia" w:ascii="宋体" w:hAnsi="宋体" w:cs="宋体"/>
                <w:color w:val="auto"/>
                <w:szCs w:val="21"/>
              </w:rPr>
              <w:t>□通过     □不通过</w:t>
            </w:r>
          </w:p>
        </w:tc>
        <w:tc>
          <w:tcPr>
            <w:tcW w:w="1417" w:type="dxa"/>
            <w:vAlign w:val="center"/>
          </w:tcPr>
          <w:p w14:paraId="53B85059">
            <w:pPr>
              <w:spacing w:line="380" w:lineRule="exact"/>
              <w:jc w:val="center"/>
              <w:rPr>
                <w:rFonts w:ascii="宋体" w:hAnsi="宋体" w:cs="宋体"/>
                <w:color w:val="auto"/>
                <w:szCs w:val="21"/>
              </w:rPr>
            </w:pPr>
            <w:r>
              <w:rPr>
                <w:rFonts w:hint="eastAsia" w:ascii="宋体" w:hAnsi="宋体" w:cs="宋体"/>
                <w:color w:val="auto"/>
                <w:szCs w:val="21"/>
              </w:rPr>
              <w:t>/</w:t>
            </w:r>
          </w:p>
        </w:tc>
      </w:tr>
    </w:tbl>
    <w:p w14:paraId="26A35E37">
      <w:pPr>
        <w:jc w:val="center"/>
        <w:rPr>
          <w:rFonts w:ascii="宋体" w:hAnsi="宋体" w:cs="宋体"/>
          <w:color w:val="auto"/>
        </w:rPr>
      </w:pPr>
    </w:p>
    <w:p w14:paraId="00C468CB">
      <w:pPr>
        <w:jc w:val="center"/>
        <w:rPr>
          <w:rFonts w:ascii="宋体" w:hAnsi="宋体" w:cs="宋体"/>
          <w:color w:val="auto"/>
        </w:rPr>
      </w:pPr>
    </w:p>
    <w:p w14:paraId="4551114E">
      <w:pPr>
        <w:rPr>
          <w:rFonts w:ascii="宋体" w:hAnsi="宋体" w:cs="宋体"/>
          <w:b/>
          <w:color w:val="auto"/>
          <w:sz w:val="28"/>
        </w:rPr>
      </w:pPr>
      <w:r>
        <w:rPr>
          <w:rFonts w:hint="eastAsia" w:ascii="宋体" w:hAnsi="宋体" w:cs="宋体"/>
          <w:b/>
          <w:color w:val="auto"/>
          <w:sz w:val="28"/>
        </w:rPr>
        <w:br w:type="page"/>
      </w:r>
    </w:p>
    <w:p w14:paraId="44004E6F">
      <w:pPr>
        <w:jc w:val="center"/>
        <w:rPr>
          <w:rFonts w:ascii="宋体" w:hAnsi="宋体" w:cs="宋体"/>
          <w:b/>
          <w:color w:val="auto"/>
          <w:sz w:val="28"/>
        </w:rPr>
      </w:pPr>
      <w:r>
        <w:rPr>
          <w:rFonts w:hint="eastAsia" w:ascii="宋体" w:hAnsi="宋体" w:cs="宋体"/>
          <w:b/>
          <w:color w:val="auto"/>
          <w:sz w:val="28"/>
        </w:rPr>
        <w:t>3、商务评审自查表</w:t>
      </w:r>
    </w:p>
    <w:tbl>
      <w:tblPr>
        <w:tblStyle w:val="4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330"/>
        <w:gridCol w:w="1620"/>
      </w:tblGrid>
      <w:tr w14:paraId="64AA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8" w:type="dxa"/>
            <w:vAlign w:val="center"/>
          </w:tcPr>
          <w:p w14:paraId="1027D59C">
            <w:pPr>
              <w:pStyle w:val="117"/>
              <w:keepNext w:val="0"/>
              <w:adjustRightInd/>
              <w:spacing w:before="0" w:after="0" w:line="360" w:lineRule="auto"/>
              <w:rPr>
                <w:rFonts w:ascii="宋体" w:hAnsi="宋体" w:cs="宋体"/>
                <w:b/>
                <w:bCs/>
                <w:color w:val="auto"/>
                <w:spacing w:val="0"/>
                <w:kern w:val="2"/>
                <w:sz w:val="21"/>
                <w:szCs w:val="21"/>
              </w:rPr>
            </w:pPr>
            <w:r>
              <w:rPr>
                <w:rFonts w:hint="eastAsia" w:ascii="宋体" w:hAnsi="宋体" w:cs="宋体"/>
                <w:b/>
                <w:bCs/>
                <w:color w:val="auto"/>
                <w:spacing w:val="0"/>
                <w:kern w:val="2"/>
                <w:sz w:val="21"/>
                <w:szCs w:val="21"/>
              </w:rPr>
              <w:t>评审内容</w:t>
            </w:r>
          </w:p>
        </w:tc>
        <w:tc>
          <w:tcPr>
            <w:tcW w:w="6330" w:type="dxa"/>
            <w:vAlign w:val="center"/>
          </w:tcPr>
          <w:p w14:paraId="0B546BF1">
            <w:pPr>
              <w:pStyle w:val="117"/>
              <w:keepNext w:val="0"/>
              <w:adjustRightInd/>
              <w:spacing w:before="0" w:after="0" w:line="360" w:lineRule="auto"/>
              <w:rPr>
                <w:rFonts w:ascii="宋体" w:hAnsi="宋体" w:cs="宋体"/>
                <w:b/>
                <w:bCs/>
                <w:color w:val="auto"/>
                <w:spacing w:val="0"/>
                <w:kern w:val="2"/>
                <w:sz w:val="21"/>
                <w:szCs w:val="21"/>
              </w:rPr>
            </w:pPr>
            <w:r>
              <w:rPr>
                <w:rFonts w:hint="eastAsia" w:ascii="宋体" w:hAnsi="宋体" w:cs="宋体"/>
                <w:b/>
                <w:bCs/>
                <w:color w:val="auto"/>
                <w:spacing w:val="0"/>
                <w:kern w:val="2"/>
                <w:sz w:val="21"/>
                <w:szCs w:val="21"/>
              </w:rPr>
              <w:t>评分准则</w:t>
            </w:r>
          </w:p>
        </w:tc>
        <w:tc>
          <w:tcPr>
            <w:tcW w:w="1620" w:type="dxa"/>
            <w:vAlign w:val="center"/>
          </w:tcPr>
          <w:p w14:paraId="0B582C93">
            <w:pPr>
              <w:pStyle w:val="117"/>
              <w:keepNext w:val="0"/>
              <w:adjustRightInd/>
              <w:spacing w:before="0" w:after="0" w:line="360" w:lineRule="auto"/>
              <w:rPr>
                <w:rFonts w:ascii="宋体" w:hAnsi="宋体" w:cs="宋体"/>
                <w:b/>
                <w:bCs/>
                <w:color w:val="auto"/>
                <w:spacing w:val="0"/>
                <w:kern w:val="2"/>
                <w:sz w:val="21"/>
                <w:szCs w:val="21"/>
              </w:rPr>
            </w:pPr>
            <w:r>
              <w:rPr>
                <w:rFonts w:hint="eastAsia" w:ascii="宋体" w:hAnsi="宋体" w:cs="宋体"/>
                <w:b/>
                <w:bCs/>
                <w:color w:val="auto"/>
                <w:spacing w:val="0"/>
                <w:kern w:val="2"/>
                <w:sz w:val="21"/>
                <w:szCs w:val="21"/>
              </w:rPr>
              <w:t>证明文件</w:t>
            </w:r>
          </w:p>
        </w:tc>
      </w:tr>
      <w:tr w14:paraId="5B4E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48" w:type="dxa"/>
            <w:vAlign w:val="center"/>
          </w:tcPr>
          <w:p w14:paraId="07868D0A">
            <w:pPr>
              <w:pStyle w:val="169"/>
              <w:snapToGrid w:val="0"/>
              <w:spacing w:before="0" w:after="0" w:line="360" w:lineRule="auto"/>
              <w:rPr>
                <w:rFonts w:ascii="宋体" w:hAnsi="宋体" w:cs="宋体"/>
                <w:color w:val="auto"/>
                <w:sz w:val="21"/>
                <w:szCs w:val="21"/>
              </w:rPr>
            </w:pPr>
          </w:p>
        </w:tc>
        <w:tc>
          <w:tcPr>
            <w:tcW w:w="6330" w:type="dxa"/>
            <w:vAlign w:val="center"/>
          </w:tcPr>
          <w:p w14:paraId="1D1004B7">
            <w:pPr>
              <w:pStyle w:val="33"/>
              <w:snapToGrid w:val="0"/>
              <w:spacing w:line="360" w:lineRule="auto"/>
              <w:rPr>
                <w:rFonts w:ascii="宋体" w:hAnsi="宋体" w:cs="宋体"/>
                <w:b/>
                <w:bCs/>
                <w:i/>
                <w:iCs/>
                <w:color w:val="auto"/>
                <w:szCs w:val="21"/>
              </w:rPr>
            </w:pPr>
          </w:p>
        </w:tc>
        <w:tc>
          <w:tcPr>
            <w:tcW w:w="1620" w:type="dxa"/>
            <w:vAlign w:val="center"/>
          </w:tcPr>
          <w:p w14:paraId="4C39E810">
            <w:pPr>
              <w:snapToGrid w:val="0"/>
              <w:spacing w:line="360" w:lineRule="auto"/>
              <w:ind w:left="-171"/>
              <w:jc w:val="center"/>
              <w:rPr>
                <w:rFonts w:ascii="宋体" w:hAnsi="宋体" w:cs="宋体"/>
                <w:color w:val="auto"/>
                <w:szCs w:val="21"/>
              </w:rPr>
            </w:pPr>
            <w:r>
              <w:rPr>
                <w:rFonts w:hint="eastAsia" w:ascii="宋体" w:hAnsi="宋体" w:cs="宋体"/>
                <w:color w:val="auto"/>
                <w:szCs w:val="21"/>
              </w:rPr>
              <w:t>见响应文件</w:t>
            </w:r>
          </w:p>
          <w:p w14:paraId="7F2FD0E1">
            <w:pPr>
              <w:snapToGrid w:val="0"/>
              <w:spacing w:line="360" w:lineRule="auto"/>
              <w:ind w:left="-171"/>
              <w:jc w:val="center"/>
              <w:rPr>
                <w:rFonts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27D8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8" w:type="dxa"/>
            <w:vAlign w:val="center"/>
          </w:tcPr>
          <w:p w14:paraId="72BF7BFE">
            <w:pPr>
              <w:snapToGrid w:val="0"/>
              <w:spacing w:line="360" w:lineRule="auto"/>
              <w:rPr>
                <w:rFonts w:ascii="宋体" w:hAnsi="宋体" w:cs="宋体"/>
                <w:color w:val="auto"/>
                <w:szCs w:val="21"/>
              </w:rPr>
            </w:pPr>
          </w:p>
        </w:tc>
        <w:tc>
          <w:tcPr>
            <w:tcW w:w="6330" w:type="dxa"/>
            <w:vAlign w:val="center"/>
          </w:tcPr>
          <w:p w14:paraId="6D5A7DB9">
            <w:pPr>
              <w:pStyle w:val="33"/>
              <w:snapToGrid w:val="0"/>
              <w:spacing w:line="360" w:lineRule="auto"/>
              <w:rPr>
                <w:rFonts w:ascii="宋体" w:hAnsi="宋体" w:cs="宋体"/>
                <w:color w:val="auto"/>
                <w:szCs w:val="21"/>
              </w:rPr>
            </w:pPr>
          </w:p>
        </w:tc>
        <w:tc>
          <w:tcPr>
            <w:tcW w:w="1620" w:type="dxa"/>
            <w:vAlign w:val="center"/>
          </w:tcPr>
          <w:p w14:paraId="2B110D7E">
            <w:pPr>
              <w:snapToGrid w:val="0"/>
              <w:spacing w:line="360" w:lineRule="auto"/>
              <w:ind w:left="-171"/>
              <w:jc w:val="center"/>
              <w:rPr>
                <w:rFonts w:ascii="宋体" w:hAnsi="宋体" w:cs="宋体"/>
                <w:color w:val="auto"/>
                <w:szCs w:val="21"/>
              </w:rPr>
            </w:pPr>
            <w:r>
              <w:rPr>
                <w:rFonts w:hint="eastAsia" w:ascii="宋体" w:hAnsi="宋体" w:cs="宋体"/>
                <w:color w:val="auto"/>
                <w:szCs w:val="21"/>
              </w:rPr>
              <w:t>见响应文件</w:t>
            </w:r>
          </w:p>
          <w:p w14:paraId="2A53030F">
            <w:pPr>
              <w:snapToGrid w:val="0"/>
              <w:spacing w:line="360" w:lineRule="auto"/>
              <w:ind w:left="-171"/>
              <w:jc w:val="center"/>
              <w:rPr>
                <w:rFonts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0474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48" w:type="dxa"/>
            <w:vAlign w:val="center"/>
          </w:tcPr>
          <w:p w14:paraId="2BAE4BB0">
            <w:pPr>
              <w:snapToGrid w:val="0"/>
              <w:spacing w:line="360" w:lineRule="auto"/>
              <w:rPr>
                <w:rFonts w:ascii="宋体" w:hAnsi="宋体" w:cs="宋体"/>
                <w:color w:val="auto"/>
                <w:szCs w:val="21"/>
              </w:rPr>
            </w:pPr>
          </w:p>
        </w:tc>
        <w:tc>
          <w:tcPr>
            <w:tcW w:w="6330" w:type="dxa"/>
            <w:vAlign w:val="center"/>
          </w:tcPr>
          <w:p w14:paraId="561399F9">
            <w:pPr>
              <w:pStyle w:val="33"/>
              <w:snapToGrid w:val="0"/>
              <w:spacing w:line="360" w:lineRule="auto"/>
              <w:rPr>
                <w:rFonts w:ascii="宋体" w:hAnsi="宋体" w:cs="宋体"/>
                <w:b/>
                <w:bCs/>
                <w:i/>
                <w:iCs/>
                <w:color w:val="auto"/>
                <w:szCs w:val="21"/>
              </w:rPr>
            </w:pPr>
          </w:p>
        </w:tc>
        <w:tc>
          <w:tcPr>
            <w:tcW w:w="1620" w:type="dxa"/>
            <w:vAlign w:val="center"/>
          </w:tcPr>
          <w:p w14:paraId="068C1B42">
            <w:pPr>
              <w:snapToGrid w:val="0"/>
              <w:spacing w:line="360" w:lineRule="auto"/>
              <w:ind w:left="-171"/>
              <w:jc w:val="center"/>
              <w:rPr>
                <w:rFonts w:ascii="宋体" w:hAnsi="宋体" w:cs="宋体"/>
                <w:color w:val="auto"/>
                <w:szCs w:val="21"/>
              </w:rPr>
            </w:pPr>
            <w:r>
              <w:rPr>
                <w:rFonts w:hint="eastAsia" w:ascii="宋体" w:hAnsi="宋体" w:cs="宋体"/>
                <w:color w:val="auto"/>
                <w:szCs w:val="21"/>
              </w:rPr>
              <w:t>见响应文件</w:t>
            </w:r>
          </w:p>
          <w:p w14:paraId="4DD5BB64">
            <w:pPr>
              <w:snapToGrid w:val="0"/>
              <w:spacing w:line="360" w:lineRule="auto"/>
              <w:ind w:left="-171"/>
              <w:jc w:val="center"/>
              <w:rPr>
                <w:rFonts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6D6C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48" w:type="dxa"/>
            <w:vAlign w:val="center"/>
          </w:tcPr>
          <w:p w14:paraId="66389B6B">
            <w:pPr>
              <w:snapToGrid w:val="0"/>
              <w:spacing w:line="360" w:lineRule="auto"/>
              <w:rPr>
                <w:rFonts w:ascii="宋体" w:hAnsi="宋体" w:cs="宋体"/>
                <w:color w:val="auto"/>
                <w:szCs w:val="21"/>
              </w:rPr>
            </w:pPr>
          </w:p>
        </w:tc>
        <w:tc>
          <w:tcPr>
            <w:tcW w:w="6330" w:type="dxa"/>
            <w:vAlign w:val="center"/>
          </w:tcPr>
          <w:p w14:paraId="34B8EC83">
            <w:pPr>
              <w:pStyle w:val="33"/>
              <w:snapToGrid w:val="0"/>
              <w:spacing w:line="360" w:lineRule="auto"/>
              <w:rPr>
                <w:rFonts w:ascii="宋体" w:hAnsi="宋体" w:cs="宋体"/>
                <w:color w:val="auto"/>
                <w:szCs w:val="21"/>
              </w:rPr>
            </w:pPr>
          </w:p>
        </w:tc>
        <w:tc>
          <w:tcPr>
            <w:tcW w:w="1620" w:type="dxa"/>
            <w:vAlign w:val="center"/>
          </w:tcPr>
          <w:p w14:paraId="6C854A29">
            <w:pPr>
              <w:snapToGrid w:val="0"/>
              <w:spacing w:line="360" w:lineRule="auto"/>
              <w:ind w:left="-171"/>
              <w:jc w:val="center"/>
              <w:rPr>
                <w:rFonts w:ascii="宋体" w:hAnsi="宋体" w:cs="宋体"/>
                <w:color w:val="auto"/>
                <w:szCs w:val="21"/>
              </w:rPr>
            </w:pPr>
            <w:r>
              <w:rPr>
                <w:rFonts w:hint="eastAsia" w:ascii="宋体" w:hAnsi="宋体" w:cs="宋体"/>
                <w:color w:val="auto"/>
                <w:szCs w:val="21"/>
              </w:rPr>
              <w:t>见响应文件</w:t>
            </w:r>
          </w:p>
          <w:p w14:paraId="74A660B3">
            <w:pPr>
              <w:snapToGrid w:val="0"/>
              <w:spacing w:line="360" w:lineRule="auto"/>
              <w:ind w:left="-171"/>
              <w:jc w:val="center"/>
              <w:rPr>
                <w:rFonts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2995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48" w:type="dxa"/>
            <w:vAlign w:val="center"/>
          </w:tcPr>
          <w:p w14:paraId="59060C2B">
            <w:pPr>
              <w:snapToGrid w:val="0"/>
              <w:spacing w:line="360" w:lineRule="auto"/>
              <w:rPr>
                <w:rFonts w:ascii="宋体" w:hAnsi="宋体" w:cs="宋体"/>
                <w:color w:val="auto"/>
                <w:szCs w:val="21"/>
              </w:rPr>
            </w:pPr>
          </w:p>
        </w:tc>
        <w:tc>
          <w:tcPr>
            <w:tcW w:w="6330" w:type="dxa"/>
            <w:vAlign w:val="center"/>
          </w:tcPr>
          <w:p w14:paraId="500143BA">
            <w:pPr>
              <w:pStyle w:val="33"/>
              <w:snapToGrid w:val="0"/>
              <w:spacing w:line="360" w:lineRule="auto"/>
              <w:rPr>
                <w:rFonts w:ascii="宋体" w:hAnsi="宋体" w:cs="宋体"/>
                <w:color w:val="auto"/>
                <w:szCs w:val="21"/>
              </w:rPr>
            </w:pPr>
          </w:p>
        </w:tc>
        <w:tc>
          <w:tcPr>
            <w:tcW w:w="1620" w:type="dxa"/>
            <w:vAlign w:val="center"/>
          </w:tcPr>
          <w:p w14:paraId="25DD8FDA">
            <w:pPr>
              <w:snapToGrid w:val="0"/>
              <w:spacing w:line="360" w:lineRule="auto"/>
              <w:ind w:left="-171"/>
              <w:jc w:val="center"/>
              <w:rPr>
                <w:rFonts w:ascii="宋体" w:hAnsi="宋体" w:cs="宋体"/>
                <w:color w:val="auto"/>
                <w:szCs w:val="21"/>
              </w:rPr>
            </w:pPr>
            <w:r>
              <w:rPr>
                <w:rFonts w:hint="eastAsia" w:ascii="宋体" w:hAnsi="宋体" w:cs="宋体"/>
                <w:color w:val="auto"/>
                <w:szCs w:val="21"/>
              </w:rPr>
              <w:t>见响应文件</w:t>
            </w:r>
          </w:p>
          <w:p w14:paraId="723FE9D9">
            <w:pPr>
              <w:snapToGrid w:val="0"/>
              <w:spacing w:line="360" w:lineRule="auto"/>
              <w:ind w:left="-171"/>
              <w:jc w:val="center"/>
              <w:rPr>
                <w:rFonts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71AD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8" w:type="dxa"/>
            <w:vAlign w:val="center"/>
          </w:tcPr>
          <w:p w14:paraId="609F9D3E">
            <w:pPr>
              <w:snapToGrid w:val="0"/>
              <w:spacing w:line="360" w:lineRule="auto"/>
              <w:rPr>
                <w:rFonts w:ascii="宋体" w:hAnsi="宋体" w:cs="宋体"/>
                <w:color w:val="auto"/>
                <w:szCs w:val="21"/>
              </w:rPr>
            </w:pPr>
          </w:p>
        </w:tc>
        <w:tc>
          <w:tcPr>
            <w:tcW w:w="6330" w:type="dxa"/>
            <w:vAlign w:val="center"/>
          </w:tcPr>
          <w:p w14:paraId="5427B6A8">
            <w:pPr>
              <w:pStyle w:val="33"/>
              <w:snapToGrid w:val="0"/>
              <w:spacing w:line="360" w:lineRule="auto"/>
              <w:rPr>
                <w:rFonts w:ascii="宋体" w:hAnsi="宋体" w:cs="宋体"/>
                <w:color w:val="auto"/>
                <w:szCs w:val="21"/>
              </w:rPr>
            </w:pPr>
          </w:p>
        </w:tc>
        <w:tc>
          <w:tcPr>
            <w:tcW w:w="1620" w:type="dxa"/>
            <w:vAlign w:val="center"/>
          </w:tcPr>
          <w:p w14:paraId="1E8D5FA8">
            <w:pPr>
              <w:snapToGrid w:val="0"/>
              <w:spacing w:line="360" w:lineRule="auto"/>
              <w:ind w:left="-171"/>
              <w:jc w:val="center"/>
              <w:rPr>
                <w:rFonts w:ascii="宋体" w:hAnsi="宋体" w:cs="宋体"/>
                <w:color w:val="auto"/>
                <w:szCs w:val="21"/>
              </w:rPr>
            </w:pPr>
            <w:r>
              <w:rPr>
                <w:rFonts w:hint="eastAsia" w:ascii="宋体" w:hAnsi="宋体" w:cs="宋体"/>
                <w:color w:val="auto"/>
                <w:szCs w:val="21"/>
              </w:rPr>
              <w:t>见响应文件</w:t>
            </w:r>
          </w:p>
          <w:p w14:paraId="4FD55E6D">
            <w:pPr>
              <w:snapToGrid w:val="0"/>
              <w:spacing w:line="360" w:lineRule="auto"/>
              <w:ind w:left="-171"/>
              <w:jc w:val="center"/>
              <w:rPr>
                <w:rFonts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13B7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8" w:type="dxa"/>
            <w:vAlign w:val="center"/>
          </w:tcPr>
          <w:p w14:paraId="2FDC4A82">
            <w:pPr>
              <w:snapToGrid w:val="0"/>
              <w:spacing w:line="360" w:lineRule="auto"/>
              <w:rPr>
                <w:rFonts w:ascii="宋体" w:hAnsi="宋体" w:cs="宋体"/>
                <w:color w:val="auto"/>
                <w:szCs w:val="21"/>
              </w:rPr>
            </w:pPr>
          </w:p>
        </w:tc>
        <w:tc>
          <w:tcPr>
            <w:tcW w:w="6330" w:type="dxa"/>
            <w:vAlign w:val="center"/>
          </w:tcPr>
          <w:p w14:paraId="7FBC741A">
            <w:pPr>
              <w:pStyle w:val="33"/>
              <w:snapToGrid w:val="0"/>
              <w:spacing w:line="360" w:lineRule="auto"/>
              <w:rPr>
                <w:rFonts w:ascii="宋体" w:hAnsi="宋体" w:cs="宋体"/>
                <w:color w:val="auto"/>
                <w:szCs w:val="21"/>
              </w:rPr>
            </w:pPr>
          </w:p>
        </w:tc>
        <w:tc>
          <w:tcPr>
            <w:tcW w:w="1620" w:type="dxa"/>
            <w:vAlign w:val="center"/>
          </w:tcPr>
          <w:p w14:paraId="6FA77A28">
            <w:pPr>
              <w:snapToGrid w:val="0"/>
              <w:spacing w:line="360" w:lineRule="auto"/>
              <w:ind w:left="-171"/>
              <w:jc w:val="center"/>
              <w:rPr>
                <w:rFonts w:ascii="宋体" w:hAnsi="宋体" w:cs="宋体"/>
                <w:color w:val="auto"/>
                <w:szCs w:val="21"/>
              </w:rPr>
            </w:pPr>
            <w:r>
              <w:rPr>
                <w:rFonts w:hint="eastAsia" w:ascii="宋体" w:hAnsi="宋体" w:cs="宋体"/>
                <w:color w:val="auto"/>
                <w:szCs w:val="21"/>
              </w:rPr>
              <w:t>见响应文件</w:t>
            </w:r>
          </w:p>
          <w:p w14:paraId="2BD92639">
            <w:pPr>
              <w:snapToGrid w:val="0"/>
              <w:spacing w:line="360" w:lineRule="auto"/>
              <w:ind w:firstLine="105" w:firstLineChars="50"/>
              <w:rPr>
                <w:rFonts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187C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48" w:type="dxa"/>
            <w:vAlign w:val="center"/>
          </w:tcPr>
          <w:p w14:paraId="3E5A4900">
            <w:pPr>
              <w:snapToGrid w:val="0"/>
              <w:spacing w:line="360" w:lineRule="auto"/>
              <w:jc w:val="center"/>
              <w:rPr>
                <w:rFonts w:ascii="宋体" w:hAnsi="宋体" w:cs="宋体"/>
                <w:color w:val="auto"/>
                <w:szCs w:val="21"/>
              </w:rPr>
            </w:pPr>
          </w:p>
        </w:tc>
        <w:tc>
          <w:tcPr>
            <w:tcW w:w="6330" w:type="dxa"/>
            <w:vAlign w:val="center"/>
          </w:tcPr>
          <w:p w14:paraId="15AB4789">
            <w:pPr>
              <w:pStyle w:val="33"/>
              <w:snapToGrid w:val="0"/>
              <w:spacing w:line="360" w:lineRule="auto"/>
              <w:rPr>
                <w:rFonts w:ascii="宋体" w:hAnsi="宋体" w:cs="宋体"/>
                <w:color w:val="auto"/>
                <w:szCs w:val="21"/>
              </w:rPr>
            </w:pPr>
          </w:p>
        </w:tc>
        <w:tc>
          <w:tcPr>
            <w:tcW w:w="1620" w:type="dxa"/>
            <w:vAlign w:val="center"/>
          </w:tcPr>
          <w:p w14:paraId="0B433B66">
            <w:pPr>
              <w:snapToGrid w:val="0"/>
              <w:spacing w:line="360" w:lineRule="auto"/>
              <w:ind w:left="-171"/>
              <w:jc w:val="center"/>
              <w:rPr>
                <w:rFonts w:ascii="宋体" w:hAnsi="宋体" w:cs="宋体"/>
                <w:color w:val="auto"/>
                <w:szCs w:val="21"/>
              </w:rPr>
            </w:pPr>
            <w:r>
              <w:rPr>
                <w:rFonts w:hint="eastAsia" w:ascii="宋体" w:hAnsi="宋体" w:cs="宋体"/>
                <w:color w:val="auto"/>
                <w:szCs w:val="21"/>
              </w:rPr>
              <w:t>见响应文件</w:t>
            </w:r>
          </w:p>
          <w:p w14:paraId="2076B2BE">
            <w:pPr>
              <w:snapToGrid w:val="0"/>
              <w:spacing w:line="360" w:lineRule="auto"/>
              <w:ind w:left="-171"/>
              <w:jc w:val="center"/>
              <w:rPr>
                <w:rFonts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1917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498" w:type="dxa"/>
            <w:gridSpan w:val="3"/>
            <w:vAlign w:val="center"/>
          </w:tcPr>
          <w:p w14:paraId="3132647F">
            <w:pPr>
              <w:snapToGrid w:val="0"/>
              <w:spacing w:line="360" w:lineRule="auto"/>
              <w:ind w:left="-65" w:leftChars="-31"/>
              <w:rPr>
                <w:rFonts w:ascii="宋体" w:hAnsi="宋体" w:cs="宋体"/>
                <w:color w:val="auto"/>
                <w:szCs w:val="21"/>
              </w:rPr>
            </w:pPr>
            <w:r>
              <w:rPr>
                <w:rFonts w:hint="eastAsia" w:ascii="宋体" w:hAnsi="宋体" w:cs="宋体"/>
                <w:color w:val="auto"/>
                <w:szCs w:val="21"/>
              </w:rPr>
              <w:t>说明：供应商结合</w:t>
            </w:r>
            <w:r>
              <w:rPr>
                <w:rFonts w:hint="eastAsia" w:ascii="宋体" w:hAnsi="宋体" w:cs="宋体"/>
                <w:color w:val="auto"/>
                <w:szCs w:val="21"/>
                <w:lang w:eastAsia="zh-CN"/>
              </w:rPr>
              <w:t>采购文件</w:t>
            </w:r>
            <w:r>
              <w:rPr>
                <w:rFonts w:hint="eastAsia" w:ascii="宋体" w:hAnsi="宋体" w:cs="宋体"/>
                <w:color w:val="auto"/>
                <w:szCs w:val="21"/>
              </w:rPr>
              <w:t>中</w:t>
            </w:r>
            <w:r>
              <w:rPr>
                <w:rFonts w:hint="eastAsia" w:ascii="宋体" w:hAnsi="宋体" w:cs="宋体"/>
                <w:color w:val="auto"/>
                <w:szCs w:val="21"/>
                <w:lang w:val="en-US" w:eastAsia="zh-CN"/>
              </w:rPr>
              <w:t>《综合评分表》的商务部分</w:t>
            </w:r>
            <w:r>
              <w:rPr>
                <w:rFonts w:hint="eastAsia" w:ascii="宋体" w:hAnsi="宋体" w:cs="宋体"/>
                <w:color w:val="auto"/>
                <w:szCs w:val="21"/>
              </w:rPr>
              <w:t>内容，并列出评审内容所对应的响应文件所在位置，以便查对。</w:t>
            </w:r>
          </w:p>
        </w:tc>
      </w:tr>
    </w:tbl>
    <w:p w14:paraId="3180F478">
      <w:pPr>
        <w:jc w:val="center"/>
        <w:rPr>
          <w:rFonts w:ascii="宋体" w:hAnsi="宋体" w:cs="宋体"/>
          <w:b/>
          <w:color w:val="auto"/>
          <w:sz w:val="28"/>
        </w:rPr>
      </w:pPr>
    </w:p>
    <w:p w14:paraId="4E7D40E1">
      <w:pPr>
        <w:jc w:val="center"/>
        <w:rPr>
          <w:rFonts w:ascii="宋体" w:hAnsi="宋体" w:cs="宋体"/>
          <w:b/>
          <w:color w:val="auto"/>
          <w:sz w:val="28"/>
        </w:rPr>
      </w:pPr>
      <w:r>
        <w:rPr>
          <w:rFonts w:hint="eastAsia" w:ascii="宋体" w:hAnsi="宋体" w:cs="宋体"/>
          <w:b/>
          <w:color w:val="auto"/>
          <w:sz w:val="28"/>
        </w:rPr>
        <w:br w:type="page"/>
      </w:r>
      <w:r>
        <w:rPr>
          <w:rFonts w:hint="eastAsia" w:ascii="宋体" w:hAnsi="宋体" w:cs="宋体"/>
          <w:b/>
          <w:color w:val="auto"/>
          <w:sz w:val="28"/>
        </w:rPr>
        <w:t>4、技术评审自查表</w:t>
      </w:r>
    </w:p>
    <w:tbl>
      <w:tblPr>
        <w:tblStyle w:val="4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330"/>
        <w:gridCol w:w="1620"/>
      </w:tblGrid>
      <w:tr w14:paraId="699C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8" w:type="dxa"/>
            <w:vAlign w:val="center"/>
          </w:tcPr>
          <w:p w14:paraId="01429A24">
            <w:pPr>
              <w:pStyle w:val="117"/>
              <w:keepNext w:val="0"/>
              <w:adjustRightInd/>
              <w:spacing w:before="0" w:after="0" w:line="360" w:lineRule="auto"/>
              <w:rPr>
                <w:rFonts w:ascii="宋体" w:hAnsi="宋体" w:cs="宋体"/>
                <w:b/>
                <w:bCs/>
                <w:color w:val="auto"/>
                <w:spacing w:val="0"/>
                <w:kern w:val="2"/>
                <w:sz w:val="21"/>
                <w:szCs w:val="21"/>
              </w:rPr>
            </w:pPr>
            <w:r>
              <w:rPr>
                <w:rFonts w:hint="eastAsia" w:ascii="宋体" w:hAnsi="宋体" w:cs="宋体"/>
                <w:b/>
                <w:bCs/>
                <w:color w:val="auto"/>
                <w:spacing w:val="0"/>
                <w:kern w:val="2"/>
                <w:sz w:val="21"/>
                <w:szCs w:val="21"/>
              </w:rPr>
              <w:t>评审内容</w:t>
            </w:r>
          </w:p>
        </w:tc>
        <w:tc>
          <w:tcPr>
            <w:tcW w:w="6330" w:type="dxa"/>
            <w:vAlign w:val="center"/>
          </w:tcPr>
          <w:p w14:paraId="0BC9F8D2">
            <w:pPr>
              <w:pStyle w:val="117"/>
              <w:keepNext w:val="0"/>
              <w:adjustRightInd/>
              <w:spacing w:before="0" w:after="0" w:line="360" w:lineRule="auto"/>
              <w:rPr>
                <w:rFonts w:ascii="宋体" w:hAnsi="宋体" w:cs="宋体"/>
                <w:b/>
                <w:bCs/>
                <w:color w:val="auto"/>
                <w:spacing w:val="0"/>
                <w:kern w:val="2"/>
                <w:sz w:val="21"/>
                <w:szCs w:val="21"/>
              </w:rPr>
            </w:pPr>
            <w:r>
              <w:rPr>
                <w:rFonts w:hint="eastAsia" w:ascii="宋体" w:hAnsi="宋体" w:cs="宋体"/>
                <w:b/>
                <w:bCs/>
                <w:color w:val="auto"/>
                <w:spacing w:val="0"/>
                <w:kern w:val="2"/>
                <w:sz w:val="21"/>
                <w:szCs w:val="21"/>
              </w:rPr>
              <w:t>评分准则</w:t>
            </w:r>
          </w:p>
        </w:tc>
        <w:tc>
          <w:tcPr>
            <w:tcW w:w="1620" w:type="dxa"/>
            <w:vAlign w:val="center"/>
          </w:tcPr>
          <w:p w14:paraId="3C434A82">
            <w:pPr>
              <w:pStyle w:val="117"/>
              <w:keepNext w:val="0"/>
              <w:adjustRightInd/>
              <w:spacing w:before="0" w:after="0" w:line="360" w:lineRule="auto"/>
              <w:rPr>
                <w:rFonts w:ascii="宋体" w:hAnsi="宋体" w:cs="宋体"/>
                <w:b/>
                <w:bCs/>
                <w:color w:val="auto"/>
                <w:spacing w:val="0"/>
                <w:kern w:val="2"/>
                <w:sz w:val="21"/>
                <w:szCs w:val="21"/>
              </w:rPr>
            </w:pPr>
            <w:r>
              <w:rPr>
                <w:rFonts w:hint="eastAsia" w:ascii="宋体" w:hAnsi="宋体" w:cs="宋体"/>
                <w:b/>
                <w:bCs/>
                <w:color w:val="auto"/>
                <w:spacing w:val="0"/>
                <w:kern w:val="2"/>
                <w:sz w:val="21"/>
                <w:szCs w:val="21"/>
              </w:rPr>
              <w:t>证明文件</w:t>
            </w:r>
          </w:p>
        </w:tc>
      </w:tr>
      <w:tr w14:paraId="4E07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48" w:type="dxa"/>
            <w:vAlign w:val="center"/>
          </w:tcPr>
          <w:p w14:paraId="5D55FEEF">
            <w:pPr>
              <w:pStyle w:val="169"/>
              <w:snapToGrid w:val="0"/>
              <w:spacing w:before="0" w:after="0" w:line="360" w:lineRule="auto"/>
              <w:rPr>
                <w:rFonts w:ascii="宋体" w:hAnsi="宋体" w:cs="宋体"/>
                <w:color w:val="auto"/>
                <w:sz w:val="21"/>
                <w:szCs w:val="21"/>
              </w:rPr>
            </w:pPr>
          </w:p>
        </w:tc>
        <w:tc>
          <w:tcPr>
            <w:tcW w:w="6330" w:type="dxa"/>
            <w:vAlign w:val="center"/>
          </w:tcPr>
          <w:p w14:paraId="4A91BBAC">
            <w:pPr>
              <w:pStyle w:val="33"/>
              <w:snapToGrid w:val="0"/>
              <w:spacing w:line="360" w:lineRule="auto"/>
              <w:rPr>
                <w:rFonts w:ascii="宋体" w:hAnsi="宋体" w:cs="宋体"/>
                <w:b/>
                <w:bCs/>
                <w:i/>
                <w:iCs/>
                <w:color w:val="auto"/>
                <w:szCs w:val="21"/>
              </w:rPr>
            </w:pPr>
          </w:p>
        </w:tc>
        <w:tc>
          <w:tcPr>
            <w:tcW w:w="1620" w:type="dxa"/>
            <w:vAlign w:val="center"/>
          </w:tcPr>
          <w:p w14:paraId="2D99AF5D">
            <w:pPr>
              <w:snapToGrid w:val="0"/>
              <w:spacing w:line="360" w:lineRule="auto"/>
              <w:ind w:left="-171"/>
              <w:jc w:val="center"/>
              <w:rPr>
                <w:rFonts w:ascii="宋体" w:hAnsi="宋体" w:cs="宋体"/>
                <w:color w:val="auto"/>
                <w:szCs w:val="21"/>
              </w:rPr>
            </w:pPr>
            <w:r>
              <w:rPr>
                <w:rFonts w:hint="eastAsia" w:ascii="宋体" w:hAnsi="宋体" w:cs="宋体"/>
                <w:color w:val="auto"/>
                <w:szCs w:val="21"/>
              </w:rPr>
              <w:t>见响应文件</w:t>
            </w:r>
          </w:p>
          <w:p w14:paraId="60A10886">
            <w:pPr>
              <w:snapToGrid w:val="0"/>
              <w:spacing w:line="360" w:lineRule="auto"/>
              <w:ind w:left="-171"/>
              <w:jc w:val="center"/>
              <w:rPr>
                <w:rFonts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5F30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8" w:type="dxa"/>
            <w:vAlign w:val="center"/>
          </w:tcPr>
          <w:p w14:paraId="034426A5">
            <w:pPr>
              <w:snapToGrid w:val="0"/>
              <w:spacing w:line="360" w:lineRule="auto"/>
              <w:rPr>
                <w:rFonts w:ascii="宋体" w:hAnsi="宋体" w:cs="宋体"/>
                <w:color w:val="auto"/>
                <w:szCs w:val="21"/>
              </w:rPr>
            </w:pPr>
          </w:p>
        </w:tc>
        <w:tc>
          <w:tcPr>
            <w:tcW w:w="6330" w:type="dxa"/>
            <w:vAlign w:val="center"/>
          </w:tcPr>
          <w:p w14:paraId="32C8C3A7">
            <w:pPr>
              <w:pStyle w:val="33"/>
              <w:snapToGrid w:val="0"/>
              <w:spacing w:line="360" w:lineRule="auto"/>
              <w:rPr>
                <w:rFonts w:ascii="宋体" w:hAnsi="宋体" w:cs="宋体"/>
                <w:color w:val="auto"/>
                <w:szCs w:val="21"/>
              </w:rPr>
            </w:pPr>
          </w:p>
        </w:tc>
        <w:tc>
          <w:tcPr>
            <w:tcW w:w="1620" w:type="dxa"/>
            <w:vAlign w:val="center"/>
          </w:tcPr>
          <w:p w14:paraId="295BDE32">
            <w:pPr>
              <w:snapToGrid w:val="0"/>
              <w:spacing w:line="360" w:lineRule="auto"/>
              <w:ind w:left="-171"/>
              <w:jc w:val="center"/>
              <w:rPr>
                <w:rFonts w:ascii="宋体" w:hAnsi="宋体" w:cs="宋体"/>
                <w:color w:val="auto"/>
                <w:szCs w:val="21"/>
              </w:rPr>
            </w:pPr>
            <w:r>
              <w:rPr>
                <w:rFonts w:hint="eastAsia" w:ascii="宋体" w:hAnsi="宋体" w:cs="宋体"/>
                <w:color w:val="auto"/>
                <w:szCs w:val="21"/>
              </w:rPr>
              <w:t>见响应文件</w:t>
            </w:r>
          </w:p>
          <w:p w14:paraId="2981BAB9">
            <w:pPr>
              <w:snapToGrid w:val="0"/>
              <w:spacing w:line="360" w:lineRule="auto"/>
              <w:ind w:left="-171"/>
              <w:jc w:val="center"/>
              <w:rPr>
                <w:rFonts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52A9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48" w:type="dxa"/>
            <w:vAlign w:val="center"/>
          </w:tcPr>
          <w:p w14:paraId="4AA8C675">
            <w:pPr>
              <w:snapToGrid w:val="0"/>
              <w:spacing w:line="360" w:lineRule="auto"/>
              <w:rPr>
                <w:rFonts w:ascii="宋体" w:hAnsi="宋体" w:cs="宋体"/>
                <w:color w:val="auto"/>
                <w:szCs w:val="21"/>
              </w:rPr>
            </w:pPr>
          </w:p>
        </w:tc>
        <w:tc>
          <w:tcPr>
            <w:tcW w:w="6330" w:type="dxa"/>
            <w:vAlign w:val="center"/>
          </w:tcPr>
          <w:p w14:paraId="7729F5E9">
            <w:pPr>
              <w:pStyle w:val="33"/>
              <w:snapToGrid w:val="0"/>
              <w:spacing w:line="360" w:lineRule="auto"/>
              <w:rPr>
                <w:rFonts w:ascii="宋体" w:hAnsi="宋体" w:cs="宋体"/>
                <w:b/>
                <w:bCs/>
                <w:i/>
                <w:iCs/>
                <w:color w:val="auto"/>
                <w:szCs w:val="21"/>
              </w:rPr>
            </w:pPr>
          </w:p>
        </w:tc>
        <w:tc>
          <w:tcPr>
            <w:tcW w:w="1620" w:type="dxa"/>
            <w:vAlign w:val="center"/>
          </w:tcPr>
          <w:p w14:paraId="6AEF5157">
            <w:pPr>
              <w:snapToGrid w:val="0"/>
              <w:spacing w:line="360" w:lineRule="auto"/>
              <w:ind w:left="-171"/>
              <w:jc w:val="center"/>
              <w:rPr>
                <w:rFonts w:ascii="宋体" w:hAnsi="宋体" w:cs="宋体"/>
                <w:color w:val="auto"/>
                <w:szCs w:val="21"/>
              </w:rPr>
            </w:pPr>
            <w:r>
              <w:rPr>
                <w:rFonts w:hint="eastAsia" w:ascii="宋体" w:hAnsi="宋体" w:cs="宋体"/>
                <w:color w:val="auto"/>
                <w:szCs w:val="21"/>
              </w:rPr>
              <w:t>见响应文件</w:t>
            </w:r>
          </w:p>
          <w:p w14:paraId="17C52426">
            <w:pPr>
              <w:snapToGrid w:val="0"/>
              <w:spacing w:line="360" w:lineRule="auto"/>
              <w:ind w:left="-171"/>
              <w:jc w:val="center"/>
              <w:rPr>
                <w:rFonts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0B86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48" w:type="dxa"/>
            <w:vAlign w:val="center"/>
          </w:tcPr>
          <w:p w14:paraId="440679E4">
            <w:pPr>
              <w:snapToGrid w:val="0"/>
              <w:spacing w:line="360" w:lineRule="auto"/>
              <w:rPr>
                <w:rFonts w:ascii="宋体" w:hAnsi="宋体" w:cs="宋体"/>
                <w:color w:val="auto"/>
                <w:szCs w:val="21"/>
              </w:rPr>
            </w:pPr>
          </w:p>
        </w:tc>
        <w:tc>
          <w:tcPr>
            <w:tcW w:w="6330" w:type="dxa"/>
            <w:vAlign w:val="center"/>
          </w:tcPr>
          <w:p w14:paraId="1DC706B2">
            <w:pPr>
              <w:pStyle w:val="33"/>
              <w:snapToGrid w:val="0"/>
              <w:spacing w:line="360" w:lineRule="auto"/>
              <w:rPr>
                <w:rFonts w:ascii="宋体" w:hAnsi="宋体" w:cs="宋体"/>
                <w:color w:val="auto"/>
                <w:szCs w:val="21"/>
              </w:rPr>
            </w:pPr>
          </w:p>
        </w:tc>
        <w:tc>
          <w:tcPr>
            <w:tcW w:w="1620" w:type="dxa"/>
            <w:vAlign w:val="center"/>
          </w:tcPr>
          <w:p w14:paraId="13606C6A">
            <w:pPr>
              <w:snapToGrid w:val="0"/>
              <w:spacing w:line="360" w:lineRule="auto"/>
              <w:ind w:left="-171"/>
              <w:jc w:val="center"/>
              <w:rPr>
                <w:rFonts w:ascii="宋体" w:hAnsi="宋体" w:cs="宋体"/>
                <w:color w:val="auto"/>
                <w:szCs w:val="21"/>
              </w:rPr>
            </w:pPr>
            <w:r>
              <w:rPr>
                <w:rFonts w:hint="eastAsia" w:ascii="宋体" w:hAnsi="宋体" w:cs="宋体"/>
                <w:color w:val="auto"/>
                <w:szCs w:val="21"/>
              </w:rPr>
              <w:t>见响应文件</w:t>
            </w:r>
          </w:p>
          <w:p w14:paraId="267A3F38">
            <w:pPr>
              <w:snapToGrid w:val="0"/>
              <w:spacing w:line="360" w:lineRule="auto"/>
              <w:ind w:left="-171"/>
              <w:jc w:val="center"/>
              <w:rPr>
                <w:rFonts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314F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48" w:type="dxa"/>
            <w:vAlign w:val="center"/>
          </w:tcPr>
          <w:p w14:paraId="38816424">
            <w:pPr>
              <w:snapToGrid w:val="0"/>
              <w:spacing w:line="360" w:lineRule="auto"/>
              <w:rPr>
                <w:rFonts w:ascii="宋体" w:hAnsi="宋体" w:cs="宋体"/>
                <w:color w:val="auto"/>
                <w:szCs w:val="21"/>
              </w:rPr>
            </w:pPr>
          </w:p>
        </w:tc>
        <w:tc>
          <w:tcPr>
            <w:tcW w:w="6330" w:type="dxa"/>
            <w:vAlign w:val="center"/>
          </w:tcPr>
          <w:p w14:paraId="65D2088F">
            <w:pPr>
              <w:pStyle w:val="33"/>
              <w:snapToGrid w:val="0"/>
              <w:spacing w:line="360" w:lineRule="auto"/>
              <w:rPr>
                <w:rFonts w:ascii="宋体" w:hAnsi="宋体" w:cs="宋体"/>
                <w:color w:val="auto"/>
                <w:szCs w:val="21"/>
              </w:rPr>
            </w:pPr>
          </w:p>
        </w:tc>
        <w:tc>
          <w:tcPr>
            <w:tcW w:w="1620" w:type="dxa"/>
            <w:vAlign w:val="center"/>
          </w:tcPr>
          <w:p w14:paraId="2C69944C">
            <w:pPr>
              <w:snapToGrid w:val="0"/>
              <w:spacing w:line="360" w:lineRule="auto"/>
              <w:ind w:left="-171"/>
              <w:jc w:val="center"/>
              <w:rPr>
                <w:rFonts w:ascii="宋体" w:hAnsi="宋体" w:cs="宋体"/>
                <w:color w:val="auto"/>
                <w:szCs w:val="21"/>
              </w:rPr>
            </w:pPr>
            <w:r>
              <w:rPr>
                <w:rFonts w:hint="eastAsia" w:ascii="宋体" w:hAnsi="宋体" w:cs="宋体"/>
                <w:color w:val="auto"/>
                <w:szCs w:val="21"/>
              </w:rPr>
              <w:t>见响应文件</w:t>
            </w:r>
          </w:p>
          <w:p w14:paraId="5E660BB0">
            <w:pPr>
              <w:snapToGrid w:val="0"/>
              <w:spacing w:line="360" w:lineRule="auto"/>
              <w:ind w:left="-171"/>
              <w:jc w:val="center"/>
              <w:rPr>
                <w:rFonts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65EE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8" w:type="dxa"/>
            <w:vAlign w:val="center"/>
          </w:tcPr>
          <w:p w14:paraId="47ABB37B">
            <w:pPr>
              <w:snapToGrid w:val="0"/>
              <w:spacing w:line="360" w:lineRule="auto"/>
              <w:rPr>
                <w:rFonts w:ascii="宋体" w:hAnsi="宋体" w:cs="宋体"/>
                <w:color w:val="auto"/>
                <w:szCs w:val="21"/>
              </w:rPr>
            </w:pPr>
          </w:p>
        </w:tc>
        <w:tc>
          <w:tcPr>
            <w:tcW w:w="6330" w:type="dxa"/>
            <w:vAlign w:val="center"/>
          </w:tcPr>
          <w:p w14:paraId="76DC014A">
            <w:pPr>
              <w:pStyle w:val="33"/>
              <w:snapToGrid w:val="0"/>
              <w:spacing w:line="360" w:lineRule="auto"/>
              <w:rPr>
                <w:rFonts w:ascii="宋体" w:hAnsi="宋体" w:cs="宋体"/>
                <w:color w:val="auto"/>
                <w:szCs w:val="21"/>
              </w:rPr>
            </w:pPr>
          </w:p>
        </w:tc>
        <w:tc>
          <w:tcPr>
            <w:tcW w:w="1620" w:type="dxa"/>
            <w:vAlign w:val="center"/>
          </w:tcPr>
          <w:p w14:paraId="30A8E033">
            <w:pPr>
              <w:snapToGrid w:val="0"/>
              <w:spacing w:line="360" w:lineRule="auto"/>
              <w:ind w:left="-171"/>
              <w:jc w:val="center"/>
              <w:rPr>
                <w:rFonts w:ascii="宋体" w:hAnsi="宋体" w:cs="宋体"/>
                <w:color w:val="auto"/>
                <w:szCs w:val="21"/>
              </w:rPr>
            </w:pPr>
            <w:r>
              <w:rPr>
                <w:rFonts w:hint="eastAsia" w:ascii="宋体" w:hAnsi="宋体" w:cs="宋体"/>
                <w:color w:val="auto"/>
                <w:szCs w:val="21"/>
              </w:rPr>
              <w:t>见响应文件</w:t>
            </w:r>
          </w:p>
          <w:p w14:paraId="25E52C39">
            <w:pPr>
              <w:snapToGrid w:val="0"/>
              <w:spacing w:line="360" w:lineRule="auto"/>
              <w:ind w:left="-171"/>
              <w:jc w:val="center"/>
              <w:rPr>
                <w:rFonts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7995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8" w:type="dxa"/>
            <w:vAlign w:val="center"/>
          </w:tcPr>
          <w:p w14:paraId="20242FA2">
            <w:pPr>
              <w:snapToGrid w:val="0"/>
              <w:spacing w:line="360" w:lineRule="auto"/>
              <w:rPr>
                <w:rFonts w:ascii="宋体" w:hAnsi="宋体" w:cs="宋体"/>
                <w:color w:val="auto"/>
                <w:szCs w:val="21"/>
              </w:rPr>
            </w:pPr>
          </w:p>
        </w:tc>
        <w:tc>
          <w:tcPr>
            <w:tcW w:w="6330" w:type="dxa"/>
            <w:vAlign w:val="center"/>
          </w:tcPr>
          <w:p w14:paraId="295CC0D6">
            <w:pPr>
              <w:pStyle w:val="33"/>
              <w:snapToGrid w:val="0"/>
              <w:spacing w:line="360" w:lineRule="auto"/>
              <w:rPr>
                <w:rFonts w:ascii="宋体" w:hAnsi="宋体" w:cs="宋体"/>
                <w:color w:val="auto"/>
                <w:szCs w:val="21"/>
              </w:rPr>
            </w:pPr>
          </w:p>
        </w:tc>
        <w:tc>
          <w:tcPr>
            <w:tcW w:w="1620" w:type="dxa"/>
            <w:vAlign w:val="center"/>
          </w:tcPr>
          <w:p w14:paraId="4FFA8624">
            <w:pPr>
              <w:snapToGrid w:val="0"/>
              <w:spacing w:line="360" w:lineRule="auto"/>
              <w:ind w:left="-171"/>
              <w:jc w:val="center"/>
              <w:rPr>
                <w:rFonts w:ascii="宋体" w:hAnsi="宋体" w:cs="宋体"/>
                <w:color w:val="auto"/>
                <w:szCs w:val="21"/>
              </w:rPr>
            </w:pPr>
            <w:r>
              <w:rPr>
                <w:rFonts w:hint="eastAsia" w:ascii="宋体" w:hAnsi="宋体" w:cs="宋体"/>
                <w:color w:val="auto"/>
                <w:szCs w:val="21"/>
              </w:rPr>
              <w:t>见响应文件</w:t>
            </w:r>
          </w:p>
          <w:p w14:paraId="4D1DA803">
            <w:pPr>
              <w:snapToGrid w:val="0"/>
              <w:spacing w:line="360" w:lineRule="auto"/>
              <w:ind w:firstLine="105" w:firstLineChars="50"/>
              <w:rPr>
                <w:rFonts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5DF2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48" w:type="dxa"/>
            <w:vAlign w:val="center"/>
          </w:tcPr>
          <w:p w14:paraId="237F26B3">
            <w:pPr>
              <w:snapToGrid w:val="0"/>
              <w:spacing w:line="360" w:lineRule="auto"/>
              <w:jc w:val="center"/>
              <w:rPr>
                <w:rFonts w:ascii="宋体" w:hAnsi="宋体" w:cs="宋体"/>
                <w:color w:val="auto"/>
                <w:szCs w:val="21"/>
              </w:rPr>
            </w:pPr>
          </w:p>
        </w:tc>
        <w:tc>
          <w:tcPr>
            <w:tcW w:w="6330" w:type="dxa"/>
            <w:vAlign w:val="center"/>
          </w:tcPr>
          <w:p w14:paraId="28A839AF">
            <w:pPr>
              <w:pStyle w:val="33"/>
              <w:snapToGrid w:val="0"/>
              <w:spacing w:line="360" w:lineRule="auto"/>
              <w:rPr>
                <w:rFonts w:ascii="宋体" w:hAnsi="宋体" w:cs="宋体"/>
                <w:color w:val="auto"/>
                <w:szCs w:val="21"/>
              </w:rPr>
            </w:pPr>
          </w:p>
        </w:tc>
        <w:tc>
          <w:tcPr>
            <w:tcW w:w="1620" w:type="dxa"/>
            <w:vAlign w:val="center"/>
          </w:tcPr>
          <w:p w14:paraId="718BBD1B">
            <w:pPr>
              <w:snapToGrid w:val="0"/>
              <w:spacing w:line="360" w:lineRule="auto"/>
              <w:ind w:left="-171"/>
              <w:jc w:val="center"/>
              <w:rPr>
                <w:rFonts w:ascii="宋体" w:hAnsi="宋体" w:cs="宋体"/>
                <w:color w:val="auto"/>
                <w:szCs w:val="21"/>
              </w:rPr>
            </w:pPr>
            <w:r>
              <w:rPr>
                <w:rFonts w:hint="eastAsia" w:ascii="宋体" w:hAnsi="宋体" w:cs="宋体"/>
                <w:color w:val="auto"/>
                <w:szCs w:val="21"/>
              </w:rPr>
              <w:t>见响应文件</w:t>
            </w:r>
          </w:p>
          <w:p w14:paraId="5A67797D">
            <w:pPr>
              <w:snapToGrid w:val="0"/>
              <w:spacing w:line="360" w:lineRule="auto"/>
              <w:ind w:left="-171"/>
              <w:jc w:val="center"/>
              <w:rPr>
                <w:rFonts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36EC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498" w:type="dxa"/>
            <w:gridSpan w:val="3"/>
            <w:vAlign w:val="center"/>
          </w:tcPr>
          <w:p w14:paraId="05ED4A37">
            <w:pPr>
              <w:snapToGrid w:val="0"/>
              <w:spacing w:line="360" w:lineRule="auto"/>
              <w:ind w:left="-65" w:leftChars="-31"/>
              <w:rPr>
                <w:rFonts w:ascii="宋体" w:hAnsi="宋体" w:cs="宋体"/>
                <w:color w:val="auto"/>
                <w:szCs w:val="21"/>
              </w:rPr>
            </w:pPr>
            <w:r>
              <w:rPr>
                <w:rFonts w:hint="eastAsia" w:ascii="宋体" w:hAnsi="宋体" w:cs="宋体"/>
                <w:color w:val="auto"/>
                <w:szCs w:val="21"/>
              </w:rPr>
              <w:t>说明：供应商结合</w:t>
            </w:r>
            <w:r>
              <w:rPr>
                <w:rFonts w:hint="eastAsia" w:ascii="宋体" w:hAnsi="宋体" w:cs="宋体"/>
                <w:color w:val="auto"/>
                <w:szCs w:val="21"/>
                <w:lang w:eastAsia="zh-CN"/>
              </w:rPr>
              <w:t>采购文件</w:t>
            </w:r>
            <w:r>
              <w:rPr>
                <w:rFonts w:hint="eastAsia" w:ascii="宋体" w:hAnsi="宋体" w:cs="宋体"/>
                <w:color w:val="auto"/>
                <w:szCs w:val="21"/>
              </w:rPr>
              <w:t>中</w:t>
            </w:r>
            <w:r>
              <w:rPr>
                <w:rFonts w:hint="eastAsia" w:ascii="宋体" w:hAnsi="宋体" w:cs="宋体"/>
                <w:color w:val="auto"/>
                <w:szCs w:val="21"/>
                <w:lang w:eastAsia="zh-CN"/>
              </w:rPr>
              <w:t>《</w:t>
            </w:r>
            <w:r>
              <w:rPr>
                <w:rFonts w:hint="eastAsia" w:ascii="宋体" w:hAnsi="宋体" w:cs="宋体"/>
                <w:color w:val="auto"/>
                <w:szCs w:val="21"/>
                <w:lang w:val="en-US" w:eastAsia="zh-CN"/>
              </w:rPr>
              <w:t>综合评分表</w:t>
            </w:r>
            <w:r>
              <w:rPr>
                <w:rFonts w:hint="eastAsia" w:ascii="宋体" w:hAnsi="宋体" w:cs="宋体"/>
                <w:color w:val="auto"/>
                <w:szCs w:val="21"/>
                <w:lang w:eastAsia="zh-CN"/>
              </w:rPr>
              <w:t>》</w:t>
            </w:r>
            <w:r>
              <w:rPr>
                <w:rFonts w:hint="eastAsia" w:ascii="宋体" w:hAnsi="宋体" w:cs="宋体"/>
                <w:color w:val="auto"/>
                <w:szCs w:val="21"/>
                <w:lang w:val="en-US" w:eastAsia="zh-CN"/>
              </w:rPr>
              <w:t>的技术部分内容</w:t>
            </w:r>
            <w:r>
              <w:rPr>
                <w:rFonts w:hint="eastAsia" w:ascii="宋体" w:hAnsi="宋体" w:cs="宋体"/>
                <w:color w:val="auto"/>
                <w:szCs w:val="21"/>
              </w:rPr>
              <w:t>，并列出评审内容所对应的响应文件所在位置，以便查对。</w:t>
            </w:r>
          </w:p>
        </w:tc>
      </w:tr>
    </w:tbl>
    <w:p w14:paraId="75EBAE6B">
      <w:pPr>
        <w:rPr>
          <w:rFonts w:ascii="宋体" w:hAnsi="宋体" w:cs="宋体"/>
          <w:b/>
          <w:color w:val="auto"/>
          <w:sz w:val="28"/>
        </w:rPr>
      </w:pPr>
    </w:p>
    <w:p w14:paraId="40DE7DC5">
      <w:pPr>
        <w:rPr>
          <w:color w:val="auto"/>
        </w:rPr>
      </w:pPr>
      <w:bookmarkStart w:id="402" w:name="_Toc17250"/>
      <w:bookmarkStart w:id="403" w:name="_Toc8112"/>
    </w:p>
    <w:p w14:paraId="3E6CD39B">
      <w:pPr>
        <w:pStyle w:val="58"/>
        <w:rPr>
          <w:color w:val="auto"/>
        </w:rPr>
      </w:pPr>
    </w:p>
    <w:p w14:paraId="39014F50">
      <w:pPr>
        <w:rPr>
          <w:color w:val="auto"/>
        </w:rPr>
      </w:pPr>
    </w:p>
    <w:p w14:paraId="025872E5">
      <w:pPr>
        <w:pStyle w:val="58"/>
        <w:rPr>
          <w:color w:val="auto"/>
        </w:rPr>
      </w:pPr>
    </w:p>
    <w:p w14:paraId="737DD80C">
      <w:pPr>
        <w:rPr>
          <w:color w:val="auto"/>
        </w:rPr>
      </w:pPr>
    </w:p>
    <w:p w14:paraId="195BAE34">
      <w:pPr>
        <w:pStyle w:val="58"/>
        <w:rPr>
          <w:color w:val="auto"/>
        </w:rPr>
      </w:pPr>
    </w:p>
    <w:p w14:paraId="49B578BF">
      <w:pPr>
        <w:rPr>
          <w:color w:val="auto"/>
        </w:rPr>
      </w:pPr>
    </w:p>
    <w:p w14:paraId="3B933980">
      <w:pPr>
        <w:pStyle w:val="55"/>
        <w:rPr>
          <w:color w:val="auto"/>
        </w:rPr>
      </w:pPr>
    </w:p>
    <w:p w14:paraId="444387D4">
      <w:pPr>
        <w:rPr>
          <w:rFonts w:ascii="宋体" w:hAnsi="宋体" w:cs="宋体"/>
          <w:color w:val="auto"/>
        </w:rPr>
      </w:pPr>
    </w:p>
    <w:p w14:paraId="1D30147C">
      <w:pPr>
        <w:pStyle w:val="58"/>
        <w:rPr>
          <w:rFonts w:cs="宋体"/>
          <w:color w:val="auto"/>
        </w:rPr>
      </w:pPr>
    </w:p>
    <w:p w14:paraId="6D8DC9B3">
      <w:pPr>
        <w:rPr>
          <w:rFonts w:ascii="宋体" w:hAnsi="宋体" w:cs="宋体"/>
          <w:color w:val="auto"/>
        </w:rPr>
      </w:pPr>
    </w:p>
    <w:p w14:paraId="2D076C84">
      <w:pPr>
        <w:pStyle w:val="58"/>
        <w:rPr>
          <w:rFonts w:cs="宋体"/>
          <w:color w:val="auto"/>
        </w:rPr>
      </w:pPr>
    </w:p>
    <w:p w14:paraId="7EC71167">
      <w:pPr>
        <w:rPr>
          <w:color w:val="auto"/>
        </w:rPr>
      </w:pPr>
    </w:p>
    <w:p w14:paraId="06C4E79F">
      <w:pPr>
        <w:pStyle w:val="3"/>
        <w:spacing w:before="0" w:after="120"/>
        <w:rPr>
          <w:rFonts w:cs="宋体"/>
          <w:color w:val="auto"/>
        </w:rPr>
      </w:pPr>
      <w:bookmarkStart w:id="404" w:name="_Toc14554"/>
      <w:bookmarkStart w:id="405" w:name="_Toc27231"/>
      <w:bookmarkStart w:id="406" w:name="_Toc14713"/>
      <w:bookmarkStart w:id="407" w:name="_Toc20374"/>
      <w:bookmarkStart w:id="408" w:name="_Toc3677"/>
      <w:bookmarkStart w:id="409" w:name="_Toc8592"/>
      <w:bookmarkStart w:id="410" w:name="_Toc20575"/>
      <w:r>
        <w:rPr>
          <w:rFonts w:hint="eastAsia" w:cs="宋体"/>
          <w:color w:val="auto"/>
        </w:rPr>
        <w:t>二、项目报价表格式</w:t>
      </w:r>
      <w:bookmarkEnd w:id="402"/>
      <w:bookmarkEnd w:id="403"/>
      <w:bookmarkEnd w:id="404"/>
      <w:bookmarkEnd w:id="405"/>
      <w:bookmarkEnd w:id="406"/>
      <w:bookmarkEnd w:id="407"/>
      <w:bookmarkEnd w:id="408"/>
      <w:bookmarkEnd w:id="409"/>
      <w:bookmarkEnd w:id="410"/>
    </w:p>
    <w:p w14:paraId="45EC409A">
      <w:pPr>
        <w:pStyle w:val="231"/>
        <w:ind w:firstLine="480"/>
        <w:rPr>
          <w:color w:val="auto"/>
        </w:rPr>
      </w:pPr>
    </w:p>
    <w:p w14:paraId="07484A33">
      <w:pPr>
        <w:pStyle w:val="231"/>
        <w:jc w:val="center"/>
        <w:outlineLvl w:val="3"/>
        <w:rPr>
          <w:color w:val="auto"/>
        </w:rPr>
      </w:pPr>
      <w:r>
        <w:rPr>
          <w:rFonts w:hint="eastAsia"/>
          <w:b/>
          <w:color w:val="auto"/>
          <w:sz w:val="24"/>
          <w:lang w:val="en-US" w:eastAsia="zh-CN"/>
        </w:rPr>
        <w:t>1、</w:t>
      </w:r>
      <w:r>
        <w:rPr>
          <w:b/>
          <w:color w:val="auto"/>
          <w:sz w:val="24"/>
        </w:rPr>
        <w:t>首轮报价表</w:t>
      </w:r>
    </w:p>
    <w:p w14:paraId="609A9C7F">
      <w:pPr>
        <w:pStyle w:val="231"/>
        <w:ind w:firstLine="480"/>
        <w:rPr>
          <w:color w:val="auto"/>
        </w:rPr>
      </w:pPr>
    </w:p>
    <w:p w14:paraId="428017C3">
      <w:pPr>
        <w:pStyle w:val="231"/>
        <w:rPr>
          <w:color w:val="auto"/>
        </w:rPr>
      </w:pPr>
    </w:p>
    <w:p w14:paraId="09351A55">
      <w:pPr>
        <w:pStyle w:val="231"/>
        <w:ind w:firstLine="480"/>
        <w:rPr>
          <w:color w:val="auto"/>
          <w:sz w:val="22"/>
          <w:szCs w:val="22"/>
        </w:rPr>
      </w:pPr>
      <w:r>
        <w:rPr>
          <w:color w:val="auto"/>
          <w:sz w:val="22"/>
          <w:szCs w:val="22"/>
        </w:rPr>
        <w:t>项目编号：</w:t>
      </w:r>
      <w:r>
        <w:rPr>
          <w:rFonts w:hint="eastAsia" w:asciiTheme="majorEastAsia" w:hAnsiTheme="majorEastAsia" w:eastAsiaTheme="majorEastAsia" w:cstheme="majorEastAsia"/>
          <w:color w:val="auto"/>
          <w:sz w:val="22"/>
          <w:szCs w:val="22"/>
        </w:rPr>
        <w:t>SGJX250527FC</w:t>
      </w:r>
    </w:p>
    <w:p w14:paraId="38180CB5">
      <w:pPr>
        <w:pStyle w:val="231"/>
        <w:ind w:firstLine="480"/>
        <w:rPr>
          <w:color w:val="auto"/>
          <w:sz w:val="22"/>
          <w:szCs w:val="22"/>
        </w:rPr>
      </w:pPr>
      <w:r>
        <w:rPr>
          <w:color w:val="auto"/>
          <w:sz w:val="22"/>
          <w:szCs w:val="22"/>
        </w:rPr>
        <w:t>项目名称：</w:t>
      </w:r>
      <w:r>
        <w:rPr>
          <w:rFonts w:hint="eastAsia" w:ascii="宋体" w:hAnsi="宋体" w:eastAsia="宋体" w:cs="宋体"/>
          <w:color w:val="auto"/>
          <w:sz w:val="22"/>
          <w:szCs w:val="22"/>
          <w:lang w:eastAsia="zh-CN"/>
        </w:rPr>
        <w:t>广东省北江监狱2025-2027年医院外送检验项目</w:t>
      </w:r>
    </w:p>
    <w:tbl>
      <w:tblPr>
        <w:tblStyle w:val="46"/>
        <w:tblW w:w="891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2"/>
        <w:gridCol w:w="3636"/>
        <w:gridCol w:w="2016"/>
        <w:gridCol w:w="2444"/>
      </w:tblGrid>
      <w:tr w14:paraId="23978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9" w:hRule="atLeast"/>
          <w:jc w:val="center"/>
        </w:trPr>
        <w:tc>
          <w:tcPr>
            <w:tcW w:w="822" w:type="dxa"/>
            <w:vAlign w:val="center"/>
          </w:tcPr>
          <w:p w14:paraId="6D3360B6">
            <w:pPr>
              <w:pStyle w:val="231"/>
              <w:jc w:val="center"/>
              <w:rPr>
                <w:b/>
                <w:bCs/>
                <w:color w:val="auto"/>
                <w:sz w:val="22"/>
                <w:szCs w:val="22"/>
              </w:rPr>
            </w:pPr>
            <w:r>
              <w:rPr>
                <w:b/>
                <w:bCs/>
                <w:color w:val="auto"/>
                <w:sz w:val="22"/>
                <w:szCs w:val="22"/>
              </w:rPr>
              <w:t>序号</w:t>
            </w:r>
          </w:p>
        </w:tc>
        <w:tc>
          <w:tcPr>
            <w:tcW w:w="3636" w:type="dxa"/>
            <w:vAlign w:val="center"/>
          </w:tcPr>
          <w:p w14:paraId="5CB5CCF0">
            <w:pPr>
              <w:pStyle w:val="231"/>
              <w:jc w:val="center"/>
              <w:rPr>
                <w:b/>
                <w:bCs/>
                <w:color w:val="auto"/>
                <w:sz w:val="22"/>
                <w:szCs w:val="22"/>
              </w:rPr>
            </w:pPr>
            <w:r>
              <w:rPr>
                <w:b/>
                <w:bCs/>
                <w:color w:val="auto"/>
                <w:sz w:val="22"/>
                <w:szCs w:val="22"/>
              </w:rPr>
              <w:t>项目名称</w:t>
            </w:r>
          </w:p>
        </w:tc>
        <w:tc>
          <w:tcPr>
            <w:tcW w:w="2016" w:type="dxa"/>
            <w:vAlign w:val="center"/>
          </w:tcPr>
          <w:p w14:paraId="7CAA75D5">
            <w:pPr>
              <w:pStyle w:val="231"/>
              <w:jc w:val="center"/>
              <w:rPr>
                <w:b/>
                <w:bCs/>
                <w:color w:val="auto"/>
                <w:sz w:val="22"/>
                <w:szCs w:val="22"/>
              </w:rPr>
            </w:pPr>
            <w:r>
              <w:rPr>
                <w:rFonts w:hint="eastAsia"/>
                <w:b/>
                <w:bCs/>
                <w:color w:val="auto"/>
                <w:sz w:val="22"/>
                <w:szCs w:val="22"/>
                <w:lang w:val="en-US" w:eastAsia="zh-CN"/>
              </w:rPr>
              <w:t>下浮率</w:t>
            </w:r>
            <w:r>
              <w:rPr>
                <w:b/>
                <w:bCs/>
                <w:color w:val="auto"/>
                <w:sz w:val="22"/>
                <w:szCs w:val="22"/>
              </w:rPr>
              <w:t>（%）</w:t>
            </w:r>
          </w:p>
        </w:tc>
        <w:tc>
          <w:tcPr>
            <w:tcW w:w="2444" w:type="dxa"/>
            <w:vAlign w:val="center"/>
          </w:tcPr>
          <w:p w14:paraId="0564E7F1">
            <w:pPr>
              <w:pStyle w:val="231"/>
              <w:jc w:val="center"/>
              <w:rPr>
                <w:b/>
                <w:bCs/>
                <w:color w:val="auto"/>
                <w:sz w:val="22"/>
                <w:szCs w:val="22"/>
              </w:rPr>
            </w:pPr>
            <w:r>
              <w:rPr>
                <w:b/>
                <w:bCs/>
                <w:color w:val="auto"/>
                <w:sz w:val="22"/>
                <w:szCs w:val="22"/>
              </w:rPr>
              <w:t>服务期</w:t>
            </w:r>
          </w:p>
        </w:tc>
      </w:tr>
      <w:tr w14:paraId="0ECD3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9" w:hRule="atLeast"/>
          <w:jc w:val="center"/>
        </w:trPr>
        <w:tc>
          <w:tcPr>
            <w:tcW w:w="822" w:type="dxa"/>
            <w:vAlign w:val="center"/>
          </w:tcPr>
          <w:p w14:paraId="1CD48B25">
            <w:pPr>
              <w:pStyle w:val="231"/>
              <w:jc w:val="center"/>
              <w:rPr>
                <w:rFonts w:ascii="宋体" w:hAnsi="宋体" w:eastAsia="宋体" w:cs="宋体"/>
                <w:color w:val="auto"/>
                <w:sz w:val="22"/>
                <w:szCs w:val="22"/>
              </w:rPr>
            </w:pPr>
            <w:r>
              <w:rPr>
                <w:rFonts w:ascii="宋体" w:hAnsi="宋体" w:eastAsia="宋体" w:cs="宋体"/>
                <w:color w:val="auto"/>
                <w:sz w:val="22"/>
                <w:szCs w:val="22"/>
              </w:rPr>
              <w:t>1</w:t>
            </w:r>
          </w:p>
        </w:tc>
        <w:tc>
          <w:tcPr>
            <w:tcW w:w="3636" w:type="dxa"/>
            <w:vAlign w:val="center"/>
          </w:tcPr>
          <w:p w14:paraId="1C14D3E0">
            <w:pPr>
              <w:jc w:val="center"/>
              <w:rPr>
                <w:rFonts w:hint="eastAsia" w:ascii="宋体" w:hAnsi="宋体" w:eastAsia="宋体" w:cs="宋体"/>
                <w:color w:val="auto"/>
                <w:sz w:val="24"/>
                <w:szCs w:val="22"/>
              </w:rPr>
            </w:pPr>
            <w:r>
              <w:rPr>
                <w:rFonts w:hint="eastAsia" w:ascii="宋体" w:hAnsi="宋体" w:eastAsia="宋体" w:cs="宋体"/>
                <w:color w:val="auto"/>
                <w:sz w:val="24"/>
                <w:szCs w:val="22"/>
                <w:lang w:eastAsia="zh-CN"/>
              </w:rPr>
              <w:t>广东省北江监狱2025-2027年医院外送检验项目</w:t>
            </w:r>
          </w:p>
        </w:tc>
        <w:tc>
          <w:tcPr>
            <w:tcW w:w="2016" w:type="dxa"/>
            <w:vAlign w:val="center"/>
          </w:tcPr>
          <w:p w14:paraId="09081AB8">
            <w:pPr>
              <w:jc w:val="center"/>
              <w:rPr>
                <w:color w:val="auto"/>
                <w:sz w:val="24"/>
                <w:szCs w:val="22"/>
              </w:rPr>
            </w:pPr>
          </w:p>
        </w:tc>
        <w:tc>
          <w:tcPr>
            <w:tcW w:w="2444" w:type="dxa"/>
            <w:vAlign w:val="center"/>
          </w:tcPr>
          <w:p w14:paraId="656C0F37">
            <w:pPr>
              <w:jc w:val="center"/>
              <w:rPr>
                <w:rFonts w:hint="eastAsia" w:eastAsia="宋体"/>
                <w:color w:val="auto"/>
                <w:sz w:val="24"/>
                <w:szCs w:val="22"/>
                <w:lang w:val="en-US" w:eastAsia="zh-CN"/>
              </w:rPr>
            </w:pPr>
            <w:r>
              <w:rPr>
                <w:rFonts w:hint="eastAsia" w:ascii="宋体" w:hAnsi="宋体" w:eastAsia="宋体" w:cs="宋体"/>
                <w:color w:val="auto"/>
                <w:lang w:val="en-US" w:eastAsia="zh-CN"/>
              </w:rPr>
              <w:t>自合同签订之日起2年</w:t>
            </w:r>
          </w:p>
        </w:tc>
      </w:tr>
    </w:tbl>
    <w:p w14:paraId="7AA05D86">
      <w:pPr>
        <w:pStyle w:val="231"/>
        <w:jc w:val="right"/>
        <w:rPr>
          <w:color w:val="auto"/>
        </w:rPr>
      </w:pPr>
      <w:r>
        <w:rPr>
          <w:color w:val="auto"/>
        </w:rPr>
        <w:t xml:space="preserve"> </w:t>
      </w:r>
    </w:p>
    <w:p w14:paraId="07E99824">
      <w:pPr>
        <w:pStyle w:val="231"/>
        <w:jc w:val="right"/>
        <w:rPr>
          <w:color w:val="auto"/>
        </w:rPr>
      </w:pPr>
    </w:p>
    <w:p w14:paraId="43E1D89F">
      <w:pPr>
        <w:pStyle w:val="231"/>
        <w:jc w:val="right"/>
        <w:rPr>
          <w:color w:val="auto"/>
        </w:rPr>
      </w:pPr>
    </w:p>
    <w:p w14:paraId="648DFC81">
      <w:pPr>
        <w:pStyle w:val="231"/>
        <w:jc w:val="right"/>
        <w:rPr>
          <w:color w:val="auto"/>
        </w:rPr>
      </w:pPr>
    </w:p>
    <w:p w14:paraId="5521571C">
      <w:pPr>
        <w:adjustRightInd w:val="0"/>
        <w:snapToGrid w:val="0"/>
        <w:spacing w:line="360" w:lineRule="auto"/>
        <w:rPr>
          <w:rFonts w:ascii="宋体" w:hAnsi="宋体" w:cs="宋体"/>
          <w:color w:val="auto"/>
          <w:szCs w:val="21"/>
          <w:u w:val="single"/>
        </w:rPr>
      </w:pPr>
      <w:r>
        <w:rPr>
          <w:rFonts w:hint="eastAsia" w:ascii="宋体" w:hAnsi="宋体" w:cs="宋体"/>
          <w:color w:val="auto"/>
          <w:szCs w:val="21"/>
        </w:rPr>
        <w:t>供应商名称（盖章）：</w:t>
      </w:r>
    </w:p>
    <w:p w14:paraId="7C186CA5">
      <w:pPr>
        <w:adjustRightInd w:val="0"/>
        <w:snapToGrid w:val="0"/>
        <w:spacing w:line="360" w:lineRule="auto"/>
        <w:rPr>
          <w:rFonts w:ascii="宋体" w:hAnsi="宋体" w:cs="宋体"/>
          <w:color w:val="auto"/>
          <w:szCs w:val="21"/>
        </w:rPr>
      </w:pPr>
      <w:r>
        <w:rPr>
          <w:rFonts w:hint="eastAsia" w:ascii="宋体" w:hAnsi="宋体" w:cs="宋体"/>
          <w:color w:val="auto"/>
          <w:szCs w:val="21"/>
        </w:rPr>
        <w:t>日期：   年   月   日</w:t>
      </w:r>
    </w:p>
    <w:p w14:paraId="556EDD81">
      <w:pPr>
        <w:rPr>
          <w:rFonts w:hint="eastAsia" w:hAnsi="宋体" w:cs="宋体"/>
          <w:b/>
          <w:color w:val="auto"/>
          <w:sz w:val="28"/>
          <w:szCs w:val="28"/>
        </w:rPr>
      </w:pPr>
      <w:r>
        <w:rPr>
          <w:rFonts w:hint="eastAsia" w:hAnsi="宋体" w:cs="宋体"/>
          <w:b/>
          <w:color w:val="auto"/>
          <w:sz w:val="28"/>
          <w:szCs w:val="28"/>
        </w:rPr>
        <w:br w:type="page"/>
      </w:r>
    </w:p>
    <w:p w14:paraId="18F76A2C">
      <w:pPr>
        <w:pStyle w:val="24"/>
        <w:spacing w:line="480" w:lineRule="exact"/>
        <w:jc w:val="center"/>
        <w:rPr>
          <w:rFonts w:hAnsi="宋体" w:cs="宋体"/>
          <w:b/>
          <w:color w:val="auto"/>
          <w:sz w:val="24"/>
          <w:szCs w:val="24"/>
        </w:rPr>
      </w:pPr>
      <w:r>
        <w:rPr>
          <w:rFonts w:hint="eastAsia" w:hAnsi="宋体" w:cs="宋体"/>
          <w:b/>
          <w:color w:val="auto"/>
          <w:sz w:val="24"/>
          <w:szCs w:val="24"/>
        </w:rPr>
        <w:t>2、</w:t>
      </w:r>
      <w:r>
        <w:rPr>
          <w:rFonts w:hint="eastAsia" w:hAnsi="宋体" w:cs="宋体"/>
          <w:b/>
          <w:color w:val="auto"/>
          <w:sz w:val="24"/>
          <w:szCs w:val="24"/>
          <w:lang w:val="en-US" w:eastAsia="zh-CN"/>
        </w:rPr>
        <w:t>分项报价</w:t>
      </w:r>
      <w:r>
        <w:rPr>
          <w:rFonts w:hint="eastAsia" w:hAnsi="宋体" w:cs="宋体"/>
          <w:b/>
          <w:color w:val="auto"/>
          <w:sz w:val="24"/>
          <w:szCs w:val="24"/>
        </w:rPr>
        <w:t>表</w:t>
      </w:r>
    </w:p>
    <w:p w14:paraId="47CF12D6">
      <w:pPr>
        <w:pStyle w:val="24"/>
        <w:spacing w:line="360" w:lineRule="auto"/>
        <w:ind w:left="851" w:hanging="720"/>
        <w:jc w:val="center"/>
        <w:rPr>
          <w:rFonts w:hAnsi="宋体" w:cs="宋体"/>
          <w:color w:val="auto"/>
          <w:szCs w:val="21"/>
        </w:rPr>
      </w:pPr>
      <w:r>
        <w:rPr>
          <w:rFonts w:hint="eastAsia" w:hAnsi="宋体" w:cs="宋体"/>
          <w:color w:val="auto"/>
          <w:szCs w:val="21"/>
        </w:rPr>
        <w:t>[货币单位：人民币元]</w:t>
      </w:r>
    </w:p>
    <w:p w14:paraId="3BEB30E1">
      <w:pPr>
        <w:rPr>
          <w:rFonts w:ascii="宋体" w:hAnsi="宋体" w:cs="宋体"/>
          <w:color w:val="auto"/>
        </w:rPr>
      </w:pPr>
    </w:p>
    <w:p w14:paraId="0B18E7F7">
      <w:pPr>
        <w:pStyle w:val="24"/>
        <w:spacing w:line="276" w:lineRule="auto"/>
        <w:rPr>
          <w:rFonts w:hAnsi="宋体" w:cs="宋体"/>
          <w:color w:val="auto"/>
          <w:szCs w:val="21"/>
        </w:rPr>
      </w:pPr>
      <w:r>
        <w:rPr>
          <w:rFonts w:hint="eastAsia" w:hAnsi="宋体" w:cs="宋体"/>
          <w:color w:val="auto"/>
          <w:szCs w:val="21"/>
        </w:rPr>
        <w:t>项目名称：</w:t>
      </w:r>
      <w:r>
        <w:rPr>
          <w:rFonts w:hint="eastAsia" w:ascii="宋体" w:hAnsi="宋体" w:eastAsia="宋体" w:cs="宋体"/>
          <w:color w:val="auto"/>
          <w:sz w:val="22"/>
          <w:szCs w:val="22"/>
          <w:lang w:eastAsia="zh-CN"/>
        </w:rPr>
        <w:t>广东省北江监狱2025-2027年医院外送检验项目</w:t>
      </w:r>
      <w:r>
        <w:rPr>
          <w:rFonts w:hint="eastAsia" w:hAnsi="宋体" w:cs="宋体"/>
          <w:color w:val="auto"/>
          <w:szCs w:val="21"/>
        </w:rPr>
        <w:t xml:space="preserve">                                               </w:t>
      </w:r>
    </w:p>
    <w:p w14:paraId="1DFD2051">
      <w:pPr>
        <w:pStyle w:val="24"/>
        <w:spacing w:line="276" w:lineRule="auto"/>
        <w:rPr>
          <w:rFonts w:hAnsi="宋体" w:cs="宋体"/>
          <w:color w:val="auto"/>
          <w:szCs w:val="21"/>
        </w:rPr>
      </w:pPr>
      <w:r>
        <w:rPr>
          <w:rFonts w:hint="eastAsia" w:hAnsi="宋体" w:cs="宋体"/>
          <w:color w:val="auto"/>
          <w:szCs w:val="21"/>
        </w:rPr>
        <w:t>项目编号：</w:t>
      </w:r>
      <w:r>
        <w:rPr>
          <w:rFonts w:hint="eastAsia" w:asciiTheme="minorEastAsia" w:hAnsiTheme="minorEastAsia" w:eastAsiaTheme="minorEastAsia" w:cstheme="minorEastAsia"/>
          <w:b w:val="0"/>
          <w:bCs/>
          <w:color w:val="auto"/>
          <w:sz w:val="24"/>
          <w:szCs w:val="18"/>
          <w:lang w:eastAsia="zh-CN"/>
        </w:rPr>
        <w:t>SGJX250527FC</w:t>
      </w:r>
    </w:p>
    <w:tbl>
      <w:tblPr>
        <w:tblStyle w:val="46"/>
        <w:tblW w:w="985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2"/>
        <w:gridCol w:w="1541"/>
        <w:gridCol w:w="1601"/>
        <w:gridCol w:w="1256"/>
        <w:gridCol w:w="1360"/>
        <w:gridCol w:w="1640"/>
        <w:gridCol w:w="1500"/>
      </w:tblGrid>
      <w:tr w14:paraId="177F3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9" w:hRule="atLeast"/>
          <w:jc w:val="center"/>
        </w:trPr>
        <w:tc>
          <w:tcPr>
            <w:tcW w:w="952" w:type="dxa"/>
            <w:vAlign w:val="center"/>
          </w:tcPr>
          <w:p w14:paraId="408F1A38">
            <w:pPr>
              <w:spacing w:line="240" w:lineRule="auto"/>
              <w:jc w:val="center"/>
            </w:pPr>
            <w:r>
              <w:t>序号</w:t>
            </w:r>
          </w:p>
        </w:tc>
        <w:tc>
          <w:tcPr>
            <w:tcW w:w="1541" w:type="dxa"/>
            <w:vAlign w:val="center"/>
          </w:tcPr>
          <w:p w14:paraId="10D9F108">
            <w:pPr>
              <w:spacing w:line="240" w:lineRule="auto"/>
              <w:jc w:val="center"/>
              <w:rPr>
                <w:rFonts w:hint="default" w:eastAsia="宋体"/>
                <w:lang w:val="en-US" w:eastAsia="zh-CN"/>
              </w:rPr>
            </w:pPr>
            <w:r>
              <w:rPr>
                <w:rFonts w:hint="eastAsia"/>
                <w:lang w:val="en-US" w:eastAsia="zh-CN"/>
              </w:rPr>
              <w:t>项目名称</w:t>
            </w:r>
          </w:p>
        </w:tc>
        <w:tc>
          <w:tcPr>
            <w:tcW w:w="1601" w:type="dxa"/>
            <w:vAlign w:val="center"/>
          </w:tcPr>
          <w:p w14:paraId="5012A6E2">
            <w:pPr>
              <w:spacing w:line="240" w:lineRule="auto"/>
              <w:jc w:val="center"/>
            </w:pPr>
            <w:r>
              <w:t>服务范围</w:t>
            </w:r>
          </w:p>
        </w:tc>
        <w:tc>
          <w:tcPr>
            <w:tcW w:w="1256" w:type="dxa"/>
            <w:vAlign w:val="center"/>
          </w:tcPr>
          <w:p w14:paraId="60F2D7C1">
            <w:pPr>
              <w:spacing w:line="240" w:lineRule="auto"/>
              <w:jc w:val="center"/>
            </w:pPr>
            <w:r>
              <w:t>服务要求</w:t>
            </w:r>
          </w:p>
        </w:tc>
        <w:tc>
          <w:tcPr>
            <w:tcW w:w="1360" w:type="dxa"/>
            <w:vAlign w:val="center"/>
          </w:tcPr>
          <w:p w14:paraId="2443A99E">
            <w:pPr>
              <w:spacing w:line="240" w:lineRule="auto"/>
              <w:jc w:val="center"/>
            </w:pPr>
            <w:r>
              <w:t>服务期限</w:t>
            </w:r>
          </w:p>
        </w:tc>
        <w:tc>
          <w:tcPr>
            <w:tcW w:w="1640" w:type="dxa"/>
            <w:vAlign w:val="center"/>
          </w:tcPr>
          <w:p w14:paraId="014BBF97">
            <w:pPr>
              <w:spacing w:line="240" w:lineRule="auto"/>
              <w:jc w:val="center"/>
            </w:pPr>
            <w:r>
              <w:t>服务标准</w:t>
            </w:r>
          </w:p>
        </w:tc>
        <w:tc>
          <w:tcPr>
            <w:tcW w:w="1500" w:type="dxa"/>
            <w:vAlign w:val="center"/>
          </w:tcPr>
          <w:p w14:paraId="7A3C3AA1">
            <w:pPr>
              <w:spacing w:line="240" w:lineRule="auto"/>
              <w:jc w:val="center"/>
              <w:rPr>
                <w:rFonts w:hint="default" w:eastAsia="宋体"/>
                <w:lang w:val="en-US" w:eastAsia="zh-CN"/>
              </w:rPr>
            </w:pPr>
            <w:r>
              <w:rPr>
                <w:rFonts w:hint="eastAsia"/>
                <w:lang w:val="en-US" w:eastAsia="zh-CN"/>
              </w:rPr>
              <w:t>下浮率</w:t>
            </w:r>
          </w:p>
        </w:tc>
      </w:tr>
      <w:tr w14:paraId="61E32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68" w:hRule="atLeast"/>
          <w:jc w:val="center"/>
        </w:trPr>
        <w:tc>
          <w:tcPr>
            <w:tcW w:w="952" w:type="dxa"/>
            <w:vAlign w:val="center"/>
          </w:tcPr>
          <w:p w14:paraId="11A23CE2">
            <w:pPr>
              <w:spacing w:line="240" w:lineRule="auto"/>
              <w:jc w:val="center"/>
              <w:rPr>
                <w:rFonts w:hint="eastAsia" w:eastAsia="宋体"/>
                <w:lang w:val="en-US" w:eastAsia="zh-CN"/>
              </w:rPr>
            </w:pPr>
          </w:p>
        </w:tc>
        <w:tc>
          <w:tcPr>
            <w:tcW w:w="1541" w:type="dxa"/>
            <w:vAlign w:val="center"/>
          </w:tcPr>
          <w:p w14:paraId="51C42C7B">
            <w:pPr>
              <w:spacing w:line="240" w:lineRule="auto"/>
              <w:jc w:val="center"/>
            </w:pPr>
          </w:p>
        </w:tc>
        <w:tc>
          <w:tcPr>
            <w:tcW w:w="1601" w:type="dxa"/>
            <w:vAlign w:val="center"/>
          </w:tcPr>
          <w:p w14:paraId="5C8ECCA5">
            <w:pPr>
              <w:spacing w:line="240" w:lineRule="auto"/>
              <w:jc w:val="center"/>
            </w:pPr>
          </w:p>
        </w:tc>
        <w:tc>
          <w:tcPr>
            <w:tcW w:w="1256" w:type="dxa"/>
            <w:vAlign w:val="center"/>
          </w:tcPr>
          <w:p w14:paraId="0740A772">
            <w:pPr>
              <w:spacing w:line="240" w:lineRule="auto"/>
              <w:jc w:val="center"/>
            </w:pPr>
          </w:p>
        </w:tc>
        <w:tc>
          <w:tcPr>
            <w:tcW w:w="1360" w:type="dxa"/>
            <w:vAlign w:val="center"/>
          </w:tcPr>
          <w:p w14:paraId="502D420F">
            <w:pPr>
              <w:spacing w:line="240" w:lineRule="auto"/>
              <w:jc w:val="center"/>
            </w:pPr>
          </w:p>
        </w:tc>
        <w:tc>
          <w:tcPr>
            <w:tcW w:w="1640" w:type="dxa"/>
            <w:vAlign w:val="center"/>
          </w:tcPr>
          <w:p w14:paraId="1801492E">
            <w:pPr>
              <w:spacing w:line="240" w:lineRule="auto"/>
              <w:jc w:val="center"/>
            </w:pPr>
          </w:p>
        </w:tc>
        <w:tc>
          <w:tcPr>
            <w:tcW w:w="1500" w:type="dxa"/>
            <w:vAlign w:val="center"/>
          </w:tcPr>
          <w:p w14:paraId="6B102335">
            <w:pPr>
              <w:spacing w:line="240" w:lineRule="auto"/>
              <w:jc w:val="center"/>
            </w:pPr>
          </w:p>
        </w:tc>
      </w:tr>
    </w:tbl>
    <w:p w14:paraId="72E947DF">
      <w:pPr>
        <w:spacing w:line="360" w:lineRule="auto"/>
        <w:jc w:val="center"/>
        <w:rPr>
          <w:rFonts w:ascii="宋体" w:hAnsi="宋体" w:cs="宋体"/>
          <w:color w:val="auto"/>
        </w:rPr>
      </w:pPr>
    </w:p>
    <w:p w14:paraId="5D4D790C">
      <w:pPr>
        <w:spacing w:line="360" w:lineRule="auto"/>
        <w:rPr>
          <w:rFonts w:ascii="宋体" w:hAnsi="宋体" w:cs="宋体"/>
          <w:color w:val="auto"/>
        </w:rPr>
      </w:pPr>
      <w:r>
        <w:rPr>
          <w:rFonts w:hint="eastAsia" w:ascii="宋体" w:hAnsi="宋体" w:cs="宋体"/>
          <w:color w:val="auto"/>
        </w:rPr>
        <w:t>注：1、此表为</w:t>
      </w:r>
      <w:r>
        <w:rPr>
          <w:rFonts w:hint="eastAsia" w:ascii="宋体" w:hAnsi="宋体" w:cs="宋体"/>
          <w:color w:val="auto"/>
          <w:lang w:eastAsia="zh-CN"/>
        </w:rPr>
        <w:t>首轮报价表</w:t>
      </w:r>
      <w:r>
        <w:rPr>
          <w:rFonts w:hint="eastAsia" w:ascii="宋体" w:hAnsi="宋体" w:cs="宋体"/>
          <w:color w:val="auto"/>
        </w:rPr>
        <w:t>各项工作的报价明细表，如有缺项、漏项，视为总报价中已包含相关费用，采购人无须另外支付任何费用。</w:t>
      </w:r>
    </w:p>
    <w:p w14:paraId="15B198FD">
      <w:pPr>
        <w:numPr>
          <w:ilvl w:val="0"/>
          <w:numId w:val="0"/>
        </w:numPr>
        <w:spacing w:line="360" w:lineRule="auto"/>
        <w:ind w:left="0" w:leftChars="0" w:firstLine="0" w:firstLineChars="0"/>
        <w:rPr>
          <w:rFonts w:hint="eastAsia" w:ascii="宋体" w:hAnsi="宋体" w:cs="宋体"/>
          <w:color w:val="auto"/>
          <w:szCs w:val="22"/>
        </w:rPr>
      </w:pPr>
      <w:r>
        <w:rPr>
          <w:rFonts w:hint="eastAsia" w:ascii="宋体" w:hAnsi="宋体" w:eastAsia="宋体" w:cs="宋体"/>
          <w:color w:val="auto"/>
          <w:kern w:val="2"/>
          <w:sz w:val="21"/>
          <w:szCs w:val="22"/>
          <w:lang w:val="en-US" w:eastAsia="zh-CN" w:bidi="ar-SA"/>
        </w:rPr>
        <w:t>2、</w:t>
      </w:r>
      <w:r>
        <w:rPr>
          <w:rFonts w:hint="eastAsia" w:ascii="宋体" w:hAnsi="宋体" w:cs="宋体"/>
          <w:color w:val="auto"/>
        </w:rPr>
        <w:t>本表格式应结合用户需求书中的内容制定，如本格式不适用，供应商可自行调整</w:t>
      </w:r>
      <w:r>
        <w:rPr>
          <w:rFonts w:hint="eastAsia" w:ascii="宋体" w:hAnsi="宋体" w:cs="宋体"/>
          <w:color w:val="auto"/>
          <w:szCs w:val="22"/>
        </w:rPr>
        <w:t>。</w:t>
      </w:r>
      <w:bookmarkStart w:id="497" w:name="_GoBack"/>
      <w:bookmarkEnd w:id="497"/>
    </w:p>
    <w:p w14:paraId="6E07FB2A">
      <w:pPr>
        <w:adjustRightInd w:val="0"/>
        <w:snapToGrid w:val="0"/>
        <w:spacing w:line="360" w:lineRule="auto"/>
        <w:rPr>
          <w:rFonts w:hint="eastAsia" w:ascii="宋体" w:hAnsi="宋体" w:cs="宋体"/>
          <w:color w:val="auto"/>
          <w:szCs w:val="21"/>
        </w:rPr>
      </w:pPr>
    </w:p>
    <w:p w14:paraId="731B736D">
      <w:pPr>
        <w:adjustRightInd w:val="0"/>
        <w:snapToGrid w:val="0"/>
        <w:spacing w:line="360" w:lineRule="auto"/>
        <w:rPr>
          <w:rFonts w:ascii="宋体" w:hAnsi="宋体" w:cs="宋体"/>
          <w:color w:val="auto"/>
          <w:szCs w:val="21"/>
          <w:u w:val="single"/>
        </w:rPr>
      </w:pPr>
      <w:r>
        <w:rPr>
          <w:rFonts w:hint="eastAsia" w:ascii="宋体" w:hAnsi="宋体" w:cs="宋体"/>
          <w:color w:val="auto"/>
          <w:szCs w:val="21"/>
        </w:rPr>
        <w:t>供应商名称（盖章）：</w:t>
      </w:r>
    </w:p>
    <w:p w14:paraId="45A2750A">
      <w:pPr>
        <w:adjustRightInd w:val="0"/>
        <w:snapToGrid w:val="0"/>
        <w:spacing w:line="360" w:lineRule="auto"/>
        <w:rPr>
          <w:rFonts w:ascii="宋体" w:hAnsi="宋体" w:cs="宋体"/>
          <w:color w:val="auto"/>
          <w:szCs w:val="21"/>
        </w:rPr>
      </w:pPr>
      <w:r>
        <w:rPr>
          <w:rFonts w:hint="eastAsia" w:ascii="宋体" w:hAnsi="宋体" w:cs="宋体"/>
          <w:color w:val="auto"/>
          <w:szCs w:val="21"/>
        </w:rPr>
        <w:t>日期：   年   月   日</w:t>
      </w:r>
    </w:p>
    <w:p w14:paraId="34C771B9">
      <w:pPr>
        <w:adjustRightInd w:val="0"/>
        <w:snapToGrid w:val="0"/>
        <w:spacing w:line="360" w:lineRule="auto"/>
        <w:rPr>
          <w:rFonts w:ascii="宋体" w:hAnsi="宋体" w:cs="宋体"/>
          <w:color w:val="auto"/>
          <w:szCs w:val="21"/>
          <w:u w:val="single"/>
        </w:rPr>
      </w:pPr>
    </w:p>
    <w:p w14:paraId="7680C1E9">
      <w:pPr>
        <w:rPr>
          <w:rFonts w:hint="eastAsia" w:ascii="宋体" w:hAnsi="宋体" w:cs="宋体"/>
          <w:b/>
          <w:color w:val="auto"/>
          <w:sz w:val="30"/>
        </w:rPr>
      </w:pPr>
      <w:r>
        <w:rPr>
          <w:rFonts w:hint="eastAsia" w:ascii="宋体" w:hAnsi="宋体" w:cs="宋体"/>
          <w:b/>
          <w:color w:val="auto"/>
          <w:sz w:val="30"/>
        </w:rPr>
        <w:br w:type="page"/>
      </w:r>
    </w:p>
    <w:p w14:paraId="57D185DF">
      <w:pPr>
        <w:rPr>
          <w:rFonts w:ascii="宋体" w:hAnsi="宋体" w:cs="宋体"/>
          <w:color w:val="auto"/>
        </w:rPr>
      </w:pPr>
      <w:bookmarkStart w:id="411" w:name="_Toc11622"/>
    </w:p>
    <w:p w14:paraId="59A63A2C">
      <w:pPr>
        <w:pStyle w:val="3"/>
        <w:spacing w:before="0" w:after="120"/>
        <w:rPr>
          <w:rFonts w:cs="宋体"/>
          <w:color w:val="auto"/>
        </w:rPr>
      </w:pPr>
      <w:bookmarkStart w:id="412" w:name="_Toc12706"/>
      <w:bookmarkStart w:id="413" w:name="_Toc32480"/>
      <w:bookmarkStart w:id="414" w:name="_Toc23664"/>
      <w:bookmarkStart w:id="415" w:name="_Toc1944"/>
      <w:bookmarkStart w:id="416" w:name="_Toc10257"/>
      <w:bookmarkStart w:id="417" w:name="_Toc17891"/>
      <w:bookmarkStart w:id="418" w:name="_Toc15950"/>
      <w:bookmarkStart w:id="419" w:name="_Toc32476"/>
      <w:r>
        <w:rPr>
          <w:rFonts w:hint="eastAsia" w:cs="宋体"/>
          <w:color w:val="auto"/>
          <w:lang w:val="en-US" w:eastAsia="zh-CN"/>
        </w:rPr>
        <w:t>三</w:t>
      </w:r>
      <w:r>
        <w:rPr>
          <w:rFonts w:hint="eastAsia" w:cs="宋体"/>
          <w:color w:val="auto"/>
        </w:rPr>
        <w:t>、资格性/符合性文件格式</w:t>
      </w:r>
      <w:bookmarkEnd w:id="411"/>
      <w:bookmarkEnd w:id="412"/>
      <w:bookmarkEnd w:id="413"/>
      <w:bookmarkEnd w:id="414"/>
      <w:bookmarkEnd w:id="415"/>
      <w:bookmarkEnd w:id="416"/>
      <w:bookmarkEnd w:id="417"/>
      <w:bookmarkEnd w:id="418"/>
      <w:bookmarkEnd w:id="419"/>
    </w:p>
    <w:p w14:paraId="425EEAB2">
      <w:pPr>
        <w:pStyle w:val="3"/>
        <w:spacing w:before="0" w:after="120"/>
        <w:jc w:val="center"/>
        <w:rPr>
          <w:rFonts w:cs="宋体"/>
          <w:color w:val="auto"/>
          <w:sz w:val="28"/>
          <w:szCs w:val="28"/>
        </w:rPr>
      </w:pPr>
      <w:bookmarkStart w:id="420" w:name="_Toc58"/>
      <w:bookmarkStart w:id="421" w:name="_Toc18874"/>
      <w:bookmarkStart w:id="422" w:name="_Toc13168"/>
      <w:bookmarkStart w:id="423" w:name="_Toc8895"/>
      <w:bookmarkStart w:id="424" w:name="_Toc9115"/>
      <w:bookmarkStart w:id="425" w:name="_Toc7789"/>
      <w:bookmarkStart w:id="426" w:name="_Toc14442"/>
      <w:bookmarkStart w:id="427" w:name="_Toc3463"/>
      <w:bookmarkStart w:id="428" w:name="_Toc17924"/>
      <w:r>
        <w:rPr>
          <w:rFonts w:hint="eastAsia" w:cs="宋体"/>
          <w:color w:val="auto"/>
          <w:sz w:val="28"/>
          <w:szCs w:val="28"/>
        </w:rPr>
        <w:t>1、磋  商  函</w:t>
      </w:r>
      <w:bookmarkEnd w:id="384"/>
      <w:bookmarkEnd w:id="385"/>
      <w:bookmarkEnd w:id="386"/>
      <w:bookmarkEnd w:id="387"/>
      <w:bookmarkEnd w:id="388"/>
      <w:bookmarkEnd w:id="389"/>
      <w:bookmarkEnd w:id="390"/>
      <w:bookmarkEnd w:id="391"/>
      <w:bookmarkEnd w:id="392"/>
      <w:bookmarkEnd w:id="420"/>
      <w:bookmarkEnd w:id="421"/>
      <w:bookmarkEnd w:id="422"/>
      <w:bookmarkEnd w:id="423"/>
      <w:bookmarkEnd w:id="424"/>
      <w:bookmarkEnd w:id="425"/>
      <w:bookmarkEnd w:id="426"/>
      <w:bookmarkEnd w:id="427"/>
      <w:bookmarkEnd w:id="428"/>
    </w:p>
    <w:p w14:paraId="6E8F6827">
      <w:pPr>
        <w:spacing w:line="480" w:lineRule="exact"/>
        <w:rPr>
          <w:rFonts w:ascii="宋体" w:hAnsi="宋体" w:cs="宋体"/>
          <w:b/>
          <w:color w:val="auto"/>
          <w:szCs w:val="21"/>
        </w:rPr>
      </w:pPr>
      <w:r>
        <w:rPr>
          <w:rFonts w:hint="eastAsia" w:ascii="宋体" w:hAnsi="宋体" w:cs="宋体"/>
          <w:b/>
          <w:color w:val="auto"/>
          <w:szCs w:val="21"/>
        </w:rPr>
        <w:t>韶关市君信招标代理有限公司：</w:t>
      </w:r>
    </w:p>
    <w:p w14:paraId="1FAC7F2B">
      <w:pPr>
        <w:spacing w:line="480" w:lineRule="exact"/>
        <w:ind w:firstLine="480"/>
        <w:rPr>
          <w:rFonts w:ascii="宋体" w:hAnsi="宋体" w:cs="宋体"/>
          <w:color w:val="auto"/>
          <w:szCs w:val="21"/>
        </w:rPr>
      </w:pPr>
      <w:r>
        <w:rPr>
          <w:rFonts w:hint="eastAsia" w:ascii="宋体" w:hAnsi="宋体" w:cs="宋体"/>
          <w:color w:val="auto"/>
          <w:szCs w:val="21"/>
        </w:rPr>
        <w:t>我方确认收到你方提供的</w:t>
      </w:r>
      <w:r>
        <w:rPr>
          <w:rFonts w:hint="eastAsia" w:ascii="宋体" w:hAnsi="宋体" w:cs="宋体"/>
          <w:color w:val="auto"/>
          <w:szCs w:val="21"/>
          <w:u w:val="single"/>
        </w:rPr>
        <w:t xml:space="preserve">     （项目名称）      </w:t>
      </w:r>
      <w:r>
        <w:rPr>
          <w:rFonts w:hint="eastAsia" w:ascii="宋体" w:hAnsi="宋体" w:cs="宋体"/>
          <w:color w:val="auto"/>
          <w:szCs w:val="21"/>
        </w:rPr>
        <w:t>及其相关服务的</w:t>
      </w:r>
      <w:r>
        <w:rPr>
          <w:rFonts w:hint="eastAsia" w:ascii="宋体" w:hAnsi="宋体" w:cs="宋体"/>
          <w:color w:val="auto"/>
          <w:szCs w:val="21"/>
          <w:lang w:eastAsia="zh-CN"/>
        </w:rPr>
        <w:t>采购文件</w:t>
      </w:r>
      <w:r>
        <w:rPr>
          <w:rFonts w:hint="eastAsia" w:ascii="宋体" w:hAnsi="宋体" w:cs="宋体"/>
          <w:color w:val="auto"/>
          <w:szCs w:val="21"/>
        </w:rPr>
        <w:t>的全部内容。我方：</w:t>
      </w:r>
      <w:r>
        <w:rPr>
          <w:rFonts w:hint="eastAsia" w:ascii="宋体" w:hAnsi="宋体" w:cs="宋体"/>
          <w:color w:val="auto"/>
          <w:szCs w:val="21"/>
          <w:u w:val="single"/>
        </w:rPr>
        <w:t>（供应商名称）</w:t>
      </w:r>
      <w:r>
        <w:rPr>
          <w:rFonts w:hint="eastAsia" w:ascii="宋体" w:hAnsi="宋体" w:cs="宋体"/>
          <w:color w:val="auto"/>
          <w:szCs w:val="21"/>
        </w:rPr>
        <w:t>作为供应商正式授权</w:t>
      </w:r>
      <w:r>
        <w:rPr>
          <w:rFonts w:hint="eastAsia" w:ascii="宋体" w:hAnsi="宋体" w:cs="宋体"/>
          <w:color w:val="auto"/>
          <w:szCs w:val="21"/>
          <w:u w:val="single"/>
        </w:rPr>
        <w:t>（授权代表全名、职务）</w:t>
      </w:r>
      <w:r>
        <w:rPr>
          <w:rFonts w:hint="eastAsia" w:ascii="宋体" w:hAnsi="宋体" w:cs="宋体"/>
          <w:color w:val="auto"/>
          <w:szCs w:val="21"/>
        </w:rPr>
        <w:t>代表我方进行有关投标的一切事宜。在此提交的响应文件，正本一份，副本二份。我方已完全明白</w:t>
      </w:r>
      <w:r>
        <w:rPr>
          <w:rFonts w:hint="eastAsia" w:ascii="宋体" w:hAnsi="宋体" w:cs="宋体"/>
          <w:color w:val="auto"/>
          <w:szCs w:val="21"/>
          <w:lang w:eastAsia="zh-CN"/>
        </w:rPr>
        <w:t>采购文件</w:t>
      </w:r>
      <w:r>
        <w:rPr>
          <w:rFonts w:hint="eastAsia" w:ascii="宋体" w:hAnsi="宋体" w:cs="宋体"/>
          <w:color w:val="auto"/>
          <w:szCs w:val="21"/>
        </w:rPr>
        <w:t>的所有条款要求，并重申以下几点：</w:t>
      </w:r>
    </w:p>
    <w:p w14:paraId="3363E733">
      <w:pPr>
        <w:spacing w:line="480" w:lineRule="exact"/>
        <w:ind w:firstLine="420" w:firstLineChars="200"/>
        <w:rPr>
          <w:rFonts w:ascii="宋体" w:hAnsi="宋体" w:cs="宋体"/>
          <w:color w:val="auto"/>
          <w:szCs w:val="21"/>
        </w:rPr>
      </w:pPr>
      <w:r>
        <w:rPr>
          <w:rFonts w:hint="eastAsia" w:ascii="宋体" w:hAnsi="宋体" w:cs="宋体"/>
          <w:color w:val="auto"/>
          <w:szCs w:val="21"/>
        </w:rPr>
        <w:t>1.我方决定参加：项目编号为</w:t>
      </w:r>
      <w:r>
        <w:rPr>
          <w:rFonts w:hint="eastAsia" w:ascii="宋体" w:hAnsi="宋体" w:cs="宋体"/>
          <w:color w:val="auto"/>
          <w:szCs w:val="21"/>
          <w:u w:val="single"/>
        </w:rPr>
        <w:t xml:space="preserve">            </w:t>
      </w:r>
      <w:r>
        <w:rPr>
          <w:rFonts w:hint="eastAsia" w:ascii="宋体" w:hAnsi="宋体" w:cs="宋体"/>
          <w:color w:val="auto"/>
          <w:szCs w:val="21"/>
        </w:rPr>
        <w:t>的投标</w:t>
      </w:r>
      <w:r>
        <w:rPr>
          <w:rFonts w:hint="eastAsia" w:ascii="宋体" w:hAnsi="宋体" w:cs="宋体"/>
          <w:color w:val="auto"/>
          <w:szCs w:val="21"/>
          <w:lang w:eastAsia="zh-CN"/>
        </w:rPr>
        <w:t>（</w:t>
      </w:r>
      <w:r>
        <w:rPr>
          <w:rFonts w:hint="eastAsia" w:ascii="宋体" w:hAnsi="宋体" w:cs="宋体"/>
          <w:color w:val="auto"/>
          <w:szCs w:val="21"/>
          <w:lang w:val="en-US" w:eastAsia="zh-CN"/>
        </w:rPr>
        <w:t>响应</w:t>
      </w:r>
      <w:r>
        <w:rPr>
          <w:rFonts w:hint="eastAsia" w:ascii="宋体" w:hAnsi="宋体" w:cs="宋体"/>
          <w:color w:val="auto"/>
          <w:szCs w:val="21"/>
          <w:lang w:eastAsia="zh-CN"/>
        </w:rPr>
        <w:t>）</w:t>
      </w:r>
      <w:r>
        <w:rPr>
          <w:rFonts w:hint="eastAsia" w:ascii="宋体" w:hAnsi="宋体" w:cs="宋体"/>
          <w:color w:val="auto"/>
          <w:szCs w:val="21"/>
        </w:rPr>
        <w:t>；</w:t>
      </w:r>
    </w:p>
    <w:p w14:paraId="7092D824">
      <w:pPr>
        <w:spacing w:line="480" w:lineRule="exact"/>
        <w:ind w:firstLine="420" w:firstLineChars="200"/>
        <w:rPr>
          <w:rFonts w:ascii="宋体" w:hAnsi="宋体" w:cs="宋体"/>
          <w:color w:val="auto"/>
          <w:szCs w:val="21"/>
        </w:rPr>
      </w:pPr>
      <w:r>
        <w:rPr>
          <w:rFonts w:hint="eastAsia" w:ascii="宋体" w:hAnsi="宋体" w:cs="宋体"/>
          <w:color w:val="auto"/>
          <w:szCs w:val="21"/>
        </w:rPr>
        <w:t>2.本响应文件的有效期为从投标截止日起</w:t>
      </w:r>
      <w:r>
        <w:rPr>
          <w:rFonts w:hint="eastAsia" w:ascii="宋体" w:hAnsi="宋体" w:cs="宋体"/>
          <w:color w:val="auto"/>
          <w:szCs w:val="21"/>
          <w:u w:val="single"/>
        </w:rPr>
        <w:t>90</w:t>
      </w:r>
      <w:r>
        <w:rPr>
          <w:rFonts w:hint="eastAsia" w:ascii="宋体" w:hAnsi="宋体" w:cs="宋体"/>
          <w:color w:val="auto"/>
          <w:szCs w:val="21"/>
        </w:rPr>
        <w:t>天有效，如被确定为成交供应商候选人，有效期将延至合同终止日为止；</w:t>
      </w:r>
    </w:p>
    <w:p w14:paraId="22E810A2">
      <w:pPr>
        <w:spacing w:line="480" w:lineRule="exact"/>
        <w:ind w:firstLine="420" w:firstLineChars="200"/>
        <w:rPr>
          <w:rFonts w:ascii="宋体" w:hAnsi="宋体" w:cs="宋体"/>
          <w:color w:val="auto"/>
          <w:szCs w:val="21"/>
        </w:rPr>
      </w:pPr>
      <w:r>
        <w:rPr>
          <w:rFonts w:hint="eastAsia" w:ascii="宋体" w:hAnsi="宋体" w:cs="宋体"/>
          <w:color w:val="auto"/>
          <w:szCs w:val="21"/>
        </w:rPr>
        <w:t>3.我方已详细研究了</w:t>
      </w:r>
      <w:r>
        <w:rPr>
          <w:rFonts w:hint="eastAsia" w:ascii="宋体" w:hAnsi="宋体" w:cs="宋体"/>
          <w:color w:val="auto"/>
          <w:szCs w:val="21"/>
          <w:lang w:eastAsia="zh-CN"/>
        </w:rPr>
        <w:t>采购文件</w:t>
      </w:r>
      <w:r>
        <w:rPr>
          <w:rFonts w:hint="eastAsia" w:ascii="宋体" w:hAnsi="宋体" w:cs="宋体"/>
          <w:color w:val="auto"/>
          <w:szCs w:val="21"/>
        </w:rPr>
        <w:t>的所有内容包括修正（如果有）和所有已提供的参考资料以及有关格式并完全明白，我方放弃在此方面提出含糊意见或误解的一切权利；</w:t>
      </w:r>
    </w:p>
    <w:p w14:paraId="0DD17CAA">
      <w:pPr>
        <w:spacing w:line="480" w:lineRule="exact"/>
        <w:ind w:firstLine="420" w:firstLineChars="200"/>
        <w:rPr>
          <w:rFonts w:ascii="宋体" w:hAnsi="宋体" w:cs="宋体"/>
          <w:color w:val="auto"/>
          <w:szCs w:val="21"/>
        </w:rPr>
      </w:pPr>
      <w:r>
        <w:rPr>
          <w:rFonts w:hint="eastAsia" w:ascii="宋体" w:hAnsi="宋体" w:cs="宋体"/>
          <w:color w:val="auto"/>
          <w:szCs w:val="21"/>
        </w:rPr>
        <w:t>4.我方同意按照你方可能提出的要求提供与投标有关的任何其它数据或信息；</w:t>
      </w:r>
    </w:p>
    <w:p w14:paraId="3687348D">
      <w:pPr>
        <w:spacing w:line="480" w:lineRule="exact"/>
        <w:ind w:firstLine="420" w:firstLineChars="200"/>
        <w:rPr>
          <w:rFonts w:ascii="宋体" w:hAnsi="宋体" w:cs="宋体"/>
          <w:color w:val="auto"/>
          <w:szCs w:val="21"/>
        </w:rPr>
      </w:pPr>
      <w:r>
        <w:rPr>
          <w:rFonts w:hint="eastAsia" w:ascii="宋体" w:hAnsi="宋体" w:cs="宋体"/>
          <w:color w:val="auto"/>
          <w:szCs w:val="21"/>
        </w:rPr>
        <w:t>5.我方理解磋商小组不一定接受最低报价或任何你方可能收到的报价；</w:t>
      </w:r>
    </w:p>
    <w:p w14:paraId="6D01FF87">
      <w:pPr>
        <w:spacing w:line="480" w:lineRule="exact"/>
        <w:ind w:firstLine="420" w:firstLineChars="200"/>
        <w:rPr>
          <w:rFonts w:ascii="宋体" w:hAnsi="宋体" w:cs="宋体"/>
          <w:color w:val="auto"/>
          <w:szCs w:val="21"/>
        </w:rPr>
      </w:pPr>
      <w:r>
        <w:rPr>
          <w:rFonts w:hint="eastAsia" w:ascii="宋体" w:hAnsi="宋体" w:cs="宋体"/>
          <w:color w:val="auto"/>
          <w:szCs w:val="21"/>
        </w:rPr>
        <w:t>6.我方如被确定为成交供应商候选人，将保证履行</w:t>
      </w:r>
      <w:r>
        <w:rPr>
          <w:rFonts w:hint="eastAsia" w:ascii="宋体" w:hAnsi="宋体" w:cs="宋体"/>
          <w:color w:val="auto"/>
          <w:szCs w:val="21"/>
          <w:lang w:eastAsia="zh-CN"/>
        </w:rPr>
        <w:t>采购文件</w:t>
      </w:r>
      <w:r>
        <w:rPr>
          <w:rFonts w:hint="eastAsia" w:ascii="宋体" w:hAnsi="宋体" w:cs="宋体"/>
          <w:color w:val="auto"/>
          <w:szCs w:val="21"/>
        </w:rPr>
        <w:t>以及</w:t>
      </w:r>
      <w:r>
        <w:rPr>
          <w:rFonts w:hint="eastAsia" w:ascii="宋体" w:hAnsi="宋体" w:cs="宋体"/>
          <w:color w:val="auto"/>
          <w:szCs w:val="21"/>
          <w:lang w:eastAsia="zh-CN"/>
        </w:rPr>
        <w:t>采购文件</w:t>
      </w:r>
      <w:r>
        <w:rPr>
          <w:rFonts w:hint="eastAsia" w:ascii="宋体" w:hAnsi="宋体" w:cs="宋体"/>
          <w:color w:val="auto"/>
          <w:szCs w:val="21"/>
        </w:rPr>
        <w:t>修改书（如有的话）中的全部责任和义务，按质、按量、按期完成《合同》中的全部任务；</w:t>
      </w:r>
    </w:p>
    <w:p w14:paraId="5AD04763">
      <w:pPr>
        <w:spacing w:line="480" w:lineRule="exact"/>
        <w:ind w:firstLine="420" w:firstLineChars="200"/>
        <w:rPr>
          <w:rFonts w:ascii="宋体" w:hAnsi="宋体" w:cs="宋体"/>
          <w:color w:val="auto"/>
          <w:szCs w:val="21"/>
        </w:rPr>
      </w:pPr>
      <w:r>
        <w:rPr>
          <w:rFonts w:hint="eastAsia" w:ascii="宋体" w:hAnsi="宋体" w:cs="宋体"/>
          <w:color w:val="auto"/>
          <w:szCs w:val="21"/>
        </w:rPr>
        <w:t>7.我方自行完全承担因响应文件错误、缺漏、不清晰而导致的一切后果；</w:t>
      </w:r>
    </w:p>
    <w:p w14:paraId="718EB9C6">
      <w:pPr>
        <w:spacing w:line="480" w:lineRule="exact"/>
        <w:ind w:firstLine="420" w:firstLineChars="200"/>
        <w:rPr>
          <w:rFonts w:ascii="宋体" w:hAnsi="宋体" w:cs="宋体"/>
          <w:color w:val="auto"/>
          <w:szCs w:val="21"/>
        </w:rPr>
      </w:pPr>
      <w:r>
        <w:rPr>
          <w:rFonts w:hint="eastAsia" w:ascii="宋体" w:hAnsi="宋体" w:cs="宋体"/>
          <w:color w:val="auto"/>
          <w:szCs w:val="21"/>
        </w:rPr>
        <w:t>8.我方确认此次磋商中提供的一切资料均是真实的，准确的，并完全承担因此产生的一切后果。</w:t>
      </w:r>
    </w:p>
    <w:p w14:paraId="28EE9BEF">
      <w:pPr>
        <w:spacing w:line="480" w:lineRule="exact"/>
        <w:ind w:firstLine="420" w:firstLineChars="200"/>
        <w:rPr>
          <w:rFonts w:ascii="宋体" w:hAnsi="宋体" w:cs="宋体"/>
          <w:color w:val="auto"/>
          <w:szCs w:val="21"/>
        </w:rPr>
      </w:pPr>
      <w:r>
        <w:rPr>
          <w:rFonts w:hint="eastAsia" w:ascii="宋体" w:hAnsi="宋体" w:cs="宋体"/>
          <w:color w:val="auto"/>
          <w:szCs w:val="21"/>
        </w:rPr>
        <w:t>9.我方的报价被接受，我方同意按照</w:t>
      </w:r>
      <w:r>
        <w:rPr>
          <w:rFonts w:hint="eastAsia" w:ascii="宋体" w:hAnsi="宋体" w:cs="宋体"/>
          <w:color w:val="auto"/>
          <w:szCs w:val="21"/>
          <w:lang w:eastAsia="zh-CN"/>
        </w:rPr>
        <w:t>采购文件</w:t>
      </w:r>
      <w:r>
        <w:rPr>
          <w:rFonts w:hint="eastAsia" w:ascii="宋体" w:hAnsi="宋体" w:cs="宋体"/>
          <w:color w:val="auto"/>
          <w:szCs w:val="21"/>
        </w:rPr>
        <w:t>规定向采购代理机构缴纳采购代理服务费。</w:t>
      </w:r>
    </w:p>
    <w:p w14:paraId="1A1749CC">
      <w:pPr>
        <w:spacing w:line="480" w:lineRule="exact"/>
        <w:ind w:firstLine="420" w:firstLineChars="200"/>
        <w:rPr>
          <w:rFonts w:ascii="宋体" w:hAnsi="宋体" w:cs="宋体"/>
          <w:b w:val="0"/>
          <w:bCs w:val="0"/>
          <w:color w:val="auto"/>
          <w:szCs w:val="21"/>
        </w:rPr>
      </w:pPr>
      <w:r>
        <w:rPr>
          <w:rFonts w:hint="eastAsia" w:ascii="宋体" w:hAnsi="宋体" w:cs="宋体"/>
          <w:b w:val="0"/>
          <w:bCs w:val="0"/>
          <w:color w:val="auto"/>
          <w:szCs w:val="21"/>
        </w:rPr>
        <w:t>10.我方不存在以单位负责人为同一人或者存在直接控股、管理关系的两家或以上投标人身份参与本采购项目（或采购包）的响应。</w:t>
      </w:r>
    </w:p>
    <w:p w14:paraId="27C21D11">
      <w:pPr>
        <w:spacing w:line="480" w:lineRule="exact"/>
        <w:ind w:firstLine="420" w:firstLineChars="200"/>
        <w:rPr>
          <w:rFonts w:ascii="宋体" w:hAnsi="宋体" w:cs="宋体"/>
          <w:b w:val="0"/>
          <w:bCs w:val="0"/>
          <w:color w:val="auto"/>
          <w:szCs w:val="21"/>
        </w:rPr>
      </w:pPr>
      <w:r>
        <w:rPr>
          <w:rFonts w:hint="eastAsia" w:ascii="宋体" w:hAnsi="宋体" w:cs="宋体"/>
          <w:b w:val="0"/>
          <w:bCs w:val="0"/>
          <w:color w:val="auto"/>
          <w:szCs w:val="21"/>
        </w:rPr>
        <w:t>11.我方不存在同时参与本项目的整体设计、规范编制或者项目管理、监理、检测等服务的情况。</w:t>
      </w:r>
    </w:p>
    <w:p w14:paraId="4AB769AC">
      <w:pPr>
        <w:spacing w:line="480" w:lineRule="exact"/>
        <w:ind w:firstLine="420" w:firstLineChars="200"/>
        <w:rPr>
          <w:rFonts w:ascii="宋体" w:hAnsi="宋体" w:cs="宋体"/>
          <w:b w:val="0"/>
          <w:bCs w:val="0"/>
          <w:color w:val="auto"/>
          <w:szCs w:val="21"/>
        </w:rPr>
      </w:pPr>
      <w:r>
        <w:rPr>
          <w:rFonts w:hint="eastAsia" w:ascii="宋体" w:hAnsi="宋体" w:cs="宋体"/>
          <w:b w:val="0"/>
          <w:bCs w:val="0"/>
          <w:color w:val="auto"/>
          <w:szCs w:val="21"/>
        </w:rPr>
        <w:t>12.我单位符合法律、行政法规规定的其他条件。</w:t>
      </w:r>
    </w:p>
    <w:p w14:paraId="5632C31A">
      <w:pPr>
        <w:spacing w:line="480" w:lineRule="exact"/>
        <w:ind w:firstLine="422" w:firstLineChars="200"/>
        <w:rPr>
          <w:rFonts w:ascii="宋体" w:hAnsi="宋体" w:cs="宋体"/>
          <w:color w:val="auto"/>
          <w:szCs w:val="21"/>
        </w:rPr>
      </w:pPr>
      <w:r>
        <w:rPr>
          <w:rFonts w:hint="eastAsia" w:ascii="宋体" w:hAnsi="宋体" w:cs="宋体"/>
          <w:b/>
          <w:color w:val="auto"/>
          <w:szCs w:val="21"/>
        </w:rPr>
        <w:t>所有与本</w:t>
      </w:r>
      <w:r>
        <w:rPr>
          <w:rFonts w:hint="eastAsia" w:ascii="宋体" w:hAnsi="宋体" w:cs="宋体"/>
          <w:b/>
          <w:color w:val="auto"/>
          <w:szCs w:val="21"/>
          <w:lang w:eastAsia="zh-CN"/>
        </w:rPr>
        <w:t>采购文件</w:t>
      </w:r>
      <w:r>
        <w:rPr>
          <w:rFonts w:hint="eastAsia" w:ascii="宋体" w:hAnsi="宋体" w:cs="宋体"/>
          <w:b/>
          <w:color w:val="auto"/>
          <w:szCs w:val="21"/>
        </w:rPr>
        <w:t>有关的函件请发往下列地址：</w:t>
      </w:r>
    </w:p>
    <w:p w14:paraId="61186119">
      <w:pPr>
        <w:spacing w:line="480" w:lineRule="exact"/>
        <w:ind w:firstLine="420" w:firstLineChars="200"/>
        <w:rPr>
          <w:rFonts w:ascii="宋体" w:hAnsi="宋体" w:cs="宋体"/>
          <w:color w:val="auto"/>
          <w:szCs w:val="21"/>
          <w:u w:val="single"/>
        </w:rPr>
      </w:pPr>
      <w:r>
        <w:rPr>
          <w:rFonts w:hint="eastAsia" w:ascii="宋体" w:hAnsi="宋体" w:cs="宋体"/>
          <w:color w:val="auto"/>
          <w:szCs w:val="21"/>
        </w:rPr>
        <w:t>供应商名称（盖章）：</w:t>
      </w:r>
    </w:p>
    <w:p w14:paraId="583D3AA4">
      <w:pPr>
        <w:spacing w:line="480" w:lineRule="exact"/>
        <w:ind w:firstLine="420" w:firstLineChars="200"/>
        <w:rPr>
          <w:rFonts w:ascii="宋体" w:hAnsi="宋体" w:cs="宋体"/>
          <w:color w:val="auto"/>
          <w:szCs w:val="21"/>
          <w:u w:val="single"/>
        </w:rPr>
      </w:pPr>
      <w:r>
        <w:rPr>
          <w:rFonts w:hint="eastAsia" w:ascii="宋体" w:hAnsi="宋体" w:cs="宋体"/>
          <w:color w:val="auto"/>
          <w:szCs w:val="21"/>
        </w:rPr>
        <w:t>供应商地址：</w:t>
      </w:r>
    </w:p>
    <w:p w14:paraId="5A4CDEB9">
      <w:pPr>
        <w:spacing w:line="480" w:lineRule="exact"/>
        <w:ind w:firstLine="420" w:firstLineChars="200"/>
        <w:rPr>
          <w:rFonts w:ascii="宋体" w:hAnsi="宋体" w:cs="宋体"/>
          <w:color w:val="auto"/>
          <w:szCs w:val="21"/>
          <w:u w:val="single"/>
        </w:rPr>
      </w:pPr>
      <w:r>
        <w:rPr>
          <w:rFonts w:hint="eastAsia" w:ascii="宋体" w:hAnsi="宋体" w:cs="宋体"/>
          <w:color w:val="auto"/>
          <w:szCs w:val="21"/>
        </w:rPr>
        <w:t>联系电话：                电子邮箱：</w:t>
      </w:r>
    </w:p>
    <w:p w14:paraId="5670533D">
      <w:pPr>
        <w:spacing w:line="480" w:lineRule="exact"/>
        <w:ind w:firstLine="420" w:firstLineChars="200"/>
        <w:rPr>
          <w:rFonts w:ascii="宋体" w:hAnsi="宋体" w:cs="宋体"/>
          <w:color w:val="auto"/>
          <w:szCs w:val="21"/>
          <w:u w:val="single"/>
        </w:rPr>
      </w:pPr>
      <w:r>
        <w:rPr>
          <w:rFonts w:hint="eastAsia" w:ascii="宋体" w:hAnsi="宋体" w:cs="宋体"/>
          <w:color w:val="auto"/>
          <w:szCs w:val="21"/>
        </w:rPr>
        <w:t>法定代表人（或授权代表）签名或盖章：</w:t>
      </w:r>
    </w:p>
    <w:p w14:paraId="7F72E767">
      <w:pPr>
        <w:spacing w:line="480" w:lineRule="exact"/>
        <w:ind w:firstLine="420" w:firstLineChars="200"/>
        <w:rPr>
          <w:rFonts w:ascii="宋体" w:hAnsi="宋体" w:cs="宋体"/>
          <w:color w:val="auto"/>
          <w:sz w:val="28"/>
          <w:szCs w:val="28"/>
        </w:rPr>
      </w:pPr>
      <w:r>
        <w:rPr>
          <w:rFonts w:hint="eastAsia" w:ascii="宋体" w:hAnsi="宋体" w:cs="宋体"/>
          <w:color w:val="auto"/>
          <w:szCs w:val="21"/>
        </w:rPr>
        <w:t>日  期：</w:t>
      </w:r>
      <w:bookmarkStart w:id="429" w:name="_Toc14450840"/>
      <w:bookmarkStart w:id="430" w:name="_Toc17252701"/>
      <w:bookmarkStart w:id="431" w:name="_Toc43548084"/>
      <w:bookmarkStart w:id="432" w:name="_Toc30476681"/>
      <w:bookmarkStart w:id="433" w:name="_Toc231010435"/>
      <w:bookmarkStart w:id="434" w:name="_Toc30476685"/>
      <w:r>
        <w:rPr>
          <w:rFonts w:hint="eastAsia" w:ascii="宋体" w:hAnsi="宋体" w:cs="宋体"/>
          <w:color w:val="auto"/>
          <w:szCs w:val="21"/>
        </w:rPr>
        <w:t xml:space="preserve">     年   月   日</w:t>
      </w:r>
      <w:bookmarkStart w:id="435" w:name="_Toc223939104"/>
      <w:bookmarkEnd w:id="435"/>
      <w:bookmarkStart w:id="436" w:name="_Toc12867"/>
      <w:bookmarkStart w:id="437" w:name="_Toc453695693"/>
      <w:bookmarkStart w:id="438" w:name="_Toc461991257"/>
      <w:bookmarkStart w:id="439" w:name="_Toc453695566"/>
      <w:bookmarkStart w:id="440" w:name="_Toc234746285"/>
      <w:bookmarkStart w:id="441" w:name="_Toc238275002"/>
      <w:bookmarkStart w:id="442" w:name="_Toc24702373"/>
      <w:bookmarkStart w:id="443" w:name="_Toc231010443"/>
      <w:bookmarkStart w:id="444" w:name="_Toc231010442"/>
      <w:bookmarkStart w:id="445" w:name="_Toc24877740"/>
      <w:r>
        <w:rPr>
          <w:rFonts w:hint="eastAsia" w:ascii="宋体" w:hAnsi="宋体" w:cs="宋体"/>
          <w:color w:val="auto"/>
          <w:sz w:val="28"/>
          <w:szCs w:val="28"/>
        </w:rPr>
        <w:br w:type="page"/>
      </w:r>
    </w:p>
    <w:p w14:paraId="390D0EBF">
      <w:pPr>
        <w:pStyle w:val="3"/>
        <w:jc w:val="center"/>
        <w:rPr>
          <w:rFonts w:cs="宋体"/>
          <w:color w:val="auto"/>
          <w:sz w:val="28"/>
          <w:szCs w:val="28"/>
        </w:rPr>
      </w:pPr>
      <w:bookmarkStart w:id="446" w:name="_Toc7350"/>
      <w:bookmarkStart w:id="447" w:name="_Toc7742"/>
      <w:bookmarkStart w:id="448" w:name="_Toc16189"/>
      <w:bookmarkStart w:id="449" w:name="_Toc16571"/>
      <w:bookmarkStart w:id="450" w:name="_Toc25268"/>
      <w:bookmarkStart w:id="451" w:name="_Toc21675"/>
      <w:bookmarkStart w:id="452" w:name="_Toc13345"/>
      <w:bookmarkStart w:id="453" w:name="_Toc14861"/>
      <w:r>
        <w:rPr>
          <w:rFonts w:hint="eastAsia" w:cs="宋体"/>
          <w:color w:val="auto"/>
          <w:sz w:val="28"/>
          <w:szCs w:val="28"/>
        </w:rPr>
        <w:t>2、法定代表人证明及授权书</w:t>
      </w:r>
      <w:bookmarkEnd w:id="436"/>
      <w:bookmarkEnd w:id="437"/>
      <w:bookmarkEnd w:id="438"/>
      <w:bookmarkEnd w:id="439"/>
      <w:bookmarkEnd w:id="446"/>
      <w:bookmarkEnd w:id="447"/>
      <w:bookmarkEnd w:id="448"/>
      <w:bookmarkEnd w:id="449"/>
      <w:bookmarkEnd w:id="450"/>
      <w:bookmarkEnd w:id="451"/>
      <w:bookmarkEnd w:id="452"/>
      <w:bookmarkEnd w:id="453"/>
    </w:p>
    <w:p w14:paraId="60CFB0D7">
      <w:pPr>
        <w:adjustRightInd w:val="0"/>
        <w:snapToGrid w:val="0"/>
        <w:spacing w:line="480" w:lineRule="auto"/>
        <w:jc w:val="center"/>
        <w:rPr>
          <w:rFonts w:ascii="宋体" w:hAnsi="宋体" w:cs="宋体"/>
          <w:b/>
          <w:color w:val="auto"/>
          <w:szCs w:val="21"/>
        </w:rPr>
      </w:pPr>
      <w:r>
        <w:rPr>
          <w:rFonts w:hint="eastAsia" w:ascii="宋体" w:hAnsi="宋体" w:cs="宋体"/>
          <w:b/>
          <w:color w:val="auto"/>
          <w:szCs w:val="21"/>
        </w:rPr>
        <w:t>（1）法定代表人/负责人资格证明书</w:t>
      </w:r>
    </w:p>
    <w:p w14:paraId="7249D920">
      <w:pPr>
        <w:pStyle w:val="231"/>
        <w:keepNext w:val="0"/>
        <w:keepLines w:val="0"/>
        <w:pageBreakBefore w:val="0"/>
        <w:kinsoku/>
        <w:wordWrap/>
        <w:overflowPunct/>
        <w:topLinePunct w:val="0"/>
        <w:autoSpaceDE/>
        <w:autoSpaceDN/>
        <w:bidi w:val="0"/>
        <w:spacing w:line="360" w:lineRule="auto"/>
        <w:ind w:firstLine="480"/>
        <w:textAlignment w:val="auto"/>
        <w:rPr>
          <w:color w:val="auto"/>
          <w:sz w:val="21"/>
          <w:szCs w:val="21"/>
        </w:rPr>
      </w:pPr>
      <w:r>
        <w:rPr>
          <w:color w:val="auto"/>
          <w:sz w:val="21"/>
          <w:szCs w:val="21"/>
        </w:rPr>
        <w:t>_____________现任我单位_____________职务，为法定代表人，特此证明。</w:t>
      </w:r>
    </w:p>
    <w:p w14:paraId="4FA8226C">
      <w:pPr>
        <w:pStyle w:val="231"/>
        <w:keepNext w:val="0"/>
        <w:keepLines w:val="0"/>
        <w:pageBreakBefore w:val="0"/>
        <w:kinsoku/>
        <w:wordWrap/>
        <w:overflowPunct/>
        <w:topLinePunct w:val="0"/>
        <w:autoSpaceDE/>
        <w:autoSpaceDN/>
        <w:bidi w:val="0"/>
        <w:spacing w:line="360" w:lineRule="auto"/>
        <w:ind w:firstLine="480"/>
        <w:textAlignment w:val="auto"/>
        <w:rPr>
          <w:color w:val="auto"/>
          <w:sz w:val="21"/>
          <w:szCs w:val="21"/>
        </w:rPr>
      </w:pPr>
      <w:r>
        <w:rPr>
          <w:color w:val="auto"/>
          <w:sz w:val="21"/>
          <w:szCs w:val="21"/>
        </w:rPr>
        <w:t>有效期限：__________________</w:t>
      </w:r>
    </w:p>
    <w:p w14:paraId="01A42520">
      <w:pPr>
        <w:pStyle w:val="231"/>
        <w:keepNext w:val="0"/>
        <w:keepLines w:val="0"/>
        <w:pageBreakBefore w:val="0"/>
        <w:kinsoku/>
        <w:wordWrap/>
        <w:overflowPunct/>
        <w:topLinePunct w:val="0"/>
        <w:autoSpaceDE/>
        <w:autoSpaceDN/>
        <w:bidi w:val="0"/>
        <w:spacing w:line="360" w:lineRule="auto"/>
        <w:ind w:firstLine="480"/>
        <w:textAlignment w:val="auto"/>
        <w:rPr>
          <w:color w:val="auto"/>
          <w:sz w:val="21"/>
          <w:szCs w:val="21"/>
        </w:rPr>
      </w:pPr>
      <w:r>
        <w:rPr>
          <w:color w:val="auto"/>
          <w:sz w:val="21"/>
          <w:szCs w:val="21"/>
        </w:rPr>
        <w:t>附：代表人性别：_____年龄：_________ 身份证号码：__________________</w:t>
      </w:r>
    </w:p>
    <w:p w14:paraId="34DBBCCF">
      <w:pPr>
        <w:pStyle w:val="231"/>
        <w:keepNext w:val="0"/>
        <w:keepLines w:val="0"/>
        <w:pageBreakBefore w:val="0"/>
        <w:kinsoku/>
        <w:wordWrap/>
        <w:overflowPunct/>
        <w:topLinePunct w:val="0"/>
        <w:autoSpaceDE/>
        <w:autoSpaceDN/>
        <w:bidi w:val="0"/>
        <w:spacing w:line="360" w:lineRule="auto"/>
        <w:ind w:firstLine="480"/>
        <w:textAlignment w:val="auto"/>
        <w:rPr>
          <w:color w:val="auto"/>
          <w:sz w:val="21"/>
          <w:szCs w:val="21"/>
        </w:rPr>
      </w:pPr>
      <w:r>
        <w:rPr>
          <w:color w:val="auto"/>
          <w:sz w:val="21"/>
          <w:szCs w:val="21"/>
        </w:rPr>
        <w:t>注册号码：____________________企业类型：____________________________</w:t>
      </w:r>
    </w:p>
    <w:p w14:paraId="0516FA1F">
      <w:pPr>
        <w:pStyle w:val="231"/>
        <w:keepNext w:val="0"/>
        <w:keepLines w:val="0"/>
        <w:pageBreakBefore w:val="0"/>
        <w:kinsoku/>
        <w:wordWrap/>
        <w:overflowPunct/>
        <w:topLinePunct w:val="0"/>
        <w:autoSpaceDE/>
        <w:autoSpaceDN/>
        <w:bidi w:val="0"/>
        <w:spacing w:line="360" w:lineRule="auto"/>
        <w:ind w:firstLine="480"/>
        <w:textAlignment w:val="auto"/>
        <w:rPr>
          <w:color w:val="auto"/>
          <w:sz w:val="21"/>
          <w:szCs w:val="21"/>
        </w:rPr>
      </w:pPr>
      <w:r>
        <w:rPr>
          <w:color w:val="auto"/>
          <w:sz w:val="21"/>
          <w:szCs w:val="21"/>
        </w:rPr>
        <w:t>经营范围：__________________________</w:t>
      </w:r>
    </w:p>
    <w:p w14:paraId="51F4B2F8">
      <w:pPr>
        <w:pStyle w:val="231"/>
        <w:keepNext w:val="0"/>
        <w:keepLines w:val="0"/>
        <w:pageBreakBefore w:val="0"/>
        <w:kinsoku/>
        <w:wordWrap/>
        <w:overflowPunct/>
        <w:topLinePunct w:val="0"/>
        <w:autoSpaceDE/>
        <w:autoSpaceDN/>
        <w:bidi w:val="0"/>
        <w:spacing w:line="360" w:lineRule="auto"/>
        <w:textAlignment w:val="auto"/>
        <w:rPr>
          <w:color w:val="auto"/>
          <w:sz w:val="21"/>
          <w:szCs w:val="21"/>
        </w:rPr>
      </w:pPr>
      <w:r>
        <w:rPr>
          <w:color w:val="auto"/>
          <w:sz w:val="21"/>
          <w:szCs w:val="21"/>
        </w:rPr>
        <w:t xml:space="preserve"> </w:t>
      </w:r>
      <w:r>
        <w:rPr>
          <w:rFonts w:hint="eastAsia"/>
          <w:color w:val="auto"/>
          <w:sz w:val="21"/>
          <w:szCs w:val="21"/>
          <w:lang w:val="en-US" w:eastAsia="zh-CN"/>
        </w:rPr>
        <w:t>供应商</w:t>
      </w:r>
      <w:r>
        <w:rPr>
          <w:color w:val="auto"/>
          <w:sz w:val="21"/>
          <w:szCs w:val="21"/>
        </w:rPr>
        <w:t>名称（盖章）：__________________</w:t>
      </w:r>
    </w:p>
    <w:p w14:paraId="506400D5">
      <w:pPr>
        <w:pStyle w:val="231"/>
        <w:keepNext w:val="0"/>
        <w:keepLines w:val="0"/>
        <w:pageBreakBefore w:val="0"/>
        <w:kinsoku/>
        <w:wordWrap/>
        <w:overflowPunct/>
        <w:topLinePunct w:val="0"/>
        <w:autoSpaceDE/>
        <w:autoSpaceDN/>
        <w:bidi w:val="0"/>
        <w:spacing w:line="360" w:lineRule="auto"/>
        <w:textAlignment w:val="auto"/>
        <w:rPr>
          <w:color w:val="auto"/>
          <w:sz w:val="21"/>
          <w:szCs w:val="21"/>
        </w:rPr>
      </w:pPr>
      <w:r>
        <w:rPr>
          <w:color w:val="auto"/>
          <w:sz w:val="21"/>
          <w:szCs w:val="21"/>
        </w:rPr>
        <w:t xml:space="preserve"> 地址：__________________</w:t>
      </w:r>
    </w:p>
    <w:p w14:paraId="17491DCD">
      <w:pPr>
        <w:pStyle w:val="231"/>
        <w:keepNext w:val="0"/>
        <w:keepLines w:val="0"/>
        <w:pageBreakBefore w:val="0"/>
        <w:kinsoku/>
        <w:wordWrap/>
        <w:overflowPunct/>
        <w:topLinePunct w:val="0"/>
        <w:autoSpaceDE/>
        <w:autoSpaceDN/>
        <w:bidi w:val="0"/>
        <w:spacing w:line="360" w:lineRule="auto"/>
        <w:textAlignment w:val="auto"/>
        <w:rPr>
          <w:color w:val="auto"/>
          <w:sz w:val="21"/>
          <w:szCs w:val="21"/>
        </w:rPr>
      </w:pPr>
      <w:r>
        <w:rPr>
          <w:color w:val="auto"/>
          <w:sz w:val="21"/>
          <w:szCs w:val="21"/>
        </w:rPr>
        <w:t xml:space="preserve"> 法定代表人（签字或盖章）：__________________</w:t>
      </w:r>
    </w:p>
    <w:p w14:paraId="42B8C5C8">
      <w:pPr>
        <w:pStyle w:val="231"/>
        <w:keepNext w:val="0"/>
        <w:keepLines w:val="0"/>
        <w:pageBreakBefore w:val="0"/>
        <w:kinsoku/>
        <w:wordWrap/>
        <w:overflowPunct/>
        <w:topLinePunct w:val="0"/>
        <w:autoSpaceDE/>
        <w:autoSpaceDN/>
        <w:bidi w:val="0"/>
        <w:spacing w:line="360" w:lineRule="auto"/>
        <w:textAlignment w:val="auto"/>
        <w:rPr>
          <w:color w:val="auto"/>
          <w:sz w:val="21"/>
          <w:szCs w:val="21"/>
        </w:rPr>
      </w:pPr>
      <w:r>
        <w:rPr>
          <w:color w:val="auto"/>
          <w:sz w:val="21"/>
          <w:szCs w:val="21"/>
        </w:rPr>
        <w:t xml:space="preserve"> 职务：__________________</w:t>
      </w:r>
    </w:p>
    <w:p w14:paraId="2419C93E">
      <w:pPr>
        <w:pStyle w:val="231"/>
        <w:keepNext w:val="0"/>
        <w:keepLines w:val="0"/>
        <w:pageBreakBefore w:val="0"/>
        <w:kinsoku/>
        <w:wordWrap/>
        <w:overflowPunct/>
        <w:topLinePunct w:val="0"/>
        <w:autoSpaceDE/>
        <w:autoSpaceDN/>
        <w:bidi w:val="0"/>
        <w:spacing w:line="360" w:lineRule="auto"/>
        <w:textAlignment w:val="auto"/>
        <w:rPr>
          <w:color w:val="auto"/>
          <w:sz w:val="21"/>
          <w:szCs w:val="21"/>
        </w:rPr>
      </w:pPr>
      <w:r>
        <w:rPr>
          <w:color w:val="auto"/>
          <w:sz w:val="21"/>
          <w:szCs w:val="21"/>
        </w:rPr>
        <w:t>日期： 年 月 日</w:t>
      </w:r>
    </w:p>
    <w:p w14:paraId="29B84A2E">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color w:val="auto"/>
          <w:sz w:val="21"/>
          <w:szCs w:val="21"/>
        </w:rPr>
      </w:pPr>
    </w:p>
    <w:p w14:paraId="0ECAC35F">
      <w:pPr>
        <w:rPr>
          <w:rFonts w:hint="eastAsia" w:ascii="宋体" w:hAnsi="宋体" w:eastAsia="宋体" w:cs="宋体"/>
          <w:b/>
          <w:color w:val="auto"/>
          <w:szCs w:val="21"/>
        </w:rPr>
      </w:pPr>
      <w:bookmarkStart w:id="454" w:name="_Toc48547015"/>
      <w:bookmarkStart w:id="455" w:name="_Toc535300004"/>
      <w:bookmarkStart w:id="456" w:name="_Toc118541763"/>
      <w:bookmarkStart w:id="457" w:name="_Toc210101349"/>
    </w:p>
    <w:p w14:paraId="6165818C">
      <w:pPr>
        <w:rPr>
          <w:rFonts w:hint="eastAsia" w:ascii="宋体" w:hAnsi="宋体" w:eastAsia="宋体" w:cs="宋体"/>
          <w:b/>
          <w:color w:val="auto"/>
          <w:szCs w:val="21"/>
        </w:rPr>
      </w:pPr>
      <w:r>
        <w:rPr>
          <w:rFonts w:hint="eastAsia" w:ascii="宋体" w:hAnsi="宋体" w:eastAsia="宋体" w:cs="宋体"/>
          <w:b/>
          <w:color w:val="auto"/>
          <w:szCs w:val="21"/>
        </w:rPr>
        <mc:AlternateContent>
          <mc:Choice Requires="wps">
            <w:drawing>
              <wp:anchor distT="0" distB="0" distL="114300" distR="114300" simplePos="0" relativeHeight="251661312" behindDoc="0" locked="0" layoutInCell="1" allowOverlap="1">
                <wp:simplePos x="0" y="0"/>
                <wp:positionH relativeFrom="column">
                  <wp:posOffset>2943225</wp:posOffset>
                </wp:positionH>
                <wp:positionV relativeFrom="paragraph">
                  <wp:posOffset>-29845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B8EEE7B">
                            <w:pPr>
                              <w:jc w:val="center"/>
                              <w:rPr>
                                <w:rFonts w:ascii="Times New Roman" w:hAnsi="Times New Roman" w:eastAsia="宋体" w:cs="Times New Roman"/>
                                <w:szCs w:val="21"/>
                              </w:rPr>
                            </w:pPr>
                          </w:p>
                          <w:p w14:paraId="0576C48C">
                            <w:pPr>
                              <w:spacing w:line="4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法定代表人</w:t>
                            </w:r>
                          </w:p>
                          <w:p w14:paraId="09E9EFAE">
                            <w:pPr>
                              <w:spacing w:line="400" w:lineRule="exact"/>
                              <w:jc w:val="center"/>
                              <w:rPr>
                                <w:rFonts w:hint="eastAsia" w:ascii="Times New Roman" w:hAnsi="Times New Roman" w:eastAsia="宋体" w:cs="Times New Roman"/>
                              </w:rPr>
                            </w:pPr>
                            <w:r>
                              <w:rPr>
                                <w:rFonts w:hint="eastAsia" w:ascii="Times New Roman" w:hAnsi="Times New Roman" w:eastAsia="宋体" w:cs="Times New Roman"/>
                                <w:szCs w:val="21"/>
                              </w:rPr>
                              <w:t>居民身份证复印件反面</w:t>
                            </w:r>
                          </w:p>
                        </w:txbxContent>
                      </wps:txbx>
                      <wps:bodyPr upright="1"/>
                    </wps:wsp>
                  </a:graphicData>
                </a:graphic>
              </wp:anchor>
            </w:drawing>
          </mc:Choice>
          <mc:Fallback>
            <w:pict>
              <v:shape id="_x0000_s1026" o:spid="_x0000_s1026" o:spt="176" type="#_x0000_t176" style="position:absolute;left:0pt;margin-left:231.75pt;margin-top:-2.35pt;height:124.75pt;width:183.75pt;z-index:251661312;mso-width-relative:page;mso-height-relative:page;" fillcolor="#FFFFFF" filled="t" stroked="t" coordsize="21600,21600" o:gfxdata="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2s/gtkAAAAKAQAADwAAAAAAAAABACAAAAAiAAAAZHJzL2Rvd25yZXYueG1sUEsBAhQAFAAA&#10;AAgAh07iQLd2k/cnAgAAUAQAAA4AAAAAAAAAAQAgAAAAKAEAAGRycy9lMm9Eb2MueG1sUEsFBgAA&#10;AAAGAAYAWQEAAMEFAAAAAA==&#10;">
                <v:fill on="t" focussize="0,0"/>
                <v:stroke color="#000000" joinstyle="miter"/>
                <v:imagedata o:title=""/>
                <o:lock v:ext="edit" aspectratio="f"/>
                <v:textbox>
                  <w:txbxContent>
                    <w:p w14:paraId="3B8EEE7B">
                      <w:pPr>
                        <w:jc w:val="center"/>
                        <w:rPr>
                          <w:rFonts w:ascii="Times New Roman" w:hAnsi="Times New Roman" w:eastAsia="宋体" w:cs="Times New Roman"/>
                          <w:szCs w:val="21"/>
                        </w:rPr>
                      </w:pPr>
                    </w:p>
                    <w:p w14:paraId="0576C48C">
                      <w:pPr>
                        <w:spacing w:line="4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法定代表人</w:t>
                      </w:r>
                    </w:p>
                    <w:p w14:paraId="09E9EFAE">
                      <w:pPr>
                        <w:spacing w:line="400" w:lineRule="exact"/>
                        <w:jc w:val="center"/>
                        <w:rPr>
                          <w:rFonts w:hint="eastAsia" w:ascii="Times New Roman" w:hAnsi="Times New Roman" w:eastAsia="宋体" w:cs="Times New Roman"/>
                        </w:rPr>
                      </w:pPr>
                      <w:r>
                        <w:rPr>
                          <w:rFonts w:hint="eastAsia" w:ascii="Times New Roman" w:hAnsi="Times New Roman" w:eastAsia="宋体" w:cs="Times New Roman"/>
                          <w:szCs w:val="21"/>
                        </w:rPr>
                        <w:t>居民身份证复印件反面</w:t>
                      </w:r>
                    </w:p>
                  </w:txbxContent>
                </v:textbox>
              </v:shape>
            </w:pict>
          </mc:Fallback>
        </mc:AlternateContent>
      </w:r>
    </w:p>
    <w:p w14:paraId="13F391EB">
      <w:pPr>
        <w:rPr>
          <w:rFonts w:hint="eastAsia" w:ascii="宋体" w:hAnsi="宋体" w:eastAsia="宋体" w:cs="宋体"/>
          <w:color w:val="auto"/>
          <w:szCs w:val="21"/>
        </w:rPr>
      </w:pPr>
      <w:r>
        <w:rPr>
          <w:rFonts w:hint="eastAsia" w:ascii="宋体" w:hAnsi="宋体" w:eastAsia="宋体" w:cs="宋体"/>
          <w:b/>
          <w:color w:val="auto"/>
          <w:szCs w:val="21"/>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-199390</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36D41FE">
                            <w:pPr>
                              <w:jc w:val="center"/>
                              <w:rPr>
                                <w:rFonts w:ascii="Times New Roman" w:hAnsi="Times New Roman" w:eastAsia="宋体" w:cs="Times New Roman"/>
                                <w:szCs w:val="21"/>
                              </w:rPr>
                            </w:pPr>
                          </w:p>
                          <w:p w14:paraId="1FC6CE93">
                            <w:pPr>
                              <w:spacing w:line="4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法定代表人</w:t>
                            </w:r>
                          </w:p>
                          <w:p w14:paraId="35B9651D">
                            <w:pPr>
                              <w:spacing w:line="4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居民身份证复印件正面</w:t>
                            </w:r>
                          </w:p>
                          <w:p w14:paraId="6A213E87">
                            <w:pPr>
                              <w:widowControl/>
                              <w:spacing w:line="400" w:lineRule="exact"/>
                              <w:ind w:firstLine="1050" w:firstLineChars="500"/>
                              <w:jc w:val="both"/>
                              <w:rPr>
                                <w:rFonts w:hint="eastAsia" w:ascii="Times New Roman" w:hAnsi="Times New Roman" w:eastAsia="宋体" w:cs="Times New Roman"/>
                                <w:kern w:val="0"/>
                                <w:sz w:val="21"/>
                                <w:szCs w:val="22"/>
                                <w:lang w:val="en-US" w:eastAsia="zh-CN" w:bidi="ar-SA"/>
                              </w:rPr>
                            </w:pPr>
                          </w:p>
                        </w:txbxContent>
                      </wps:txbx>
                      <wps:bodyPr upright="1"/>
                    </wps:wsp>
                  </a:graphicData>
                </a:graphic>
              </wp:anchor>
            </w:drawing>
          </mc:Choice>
          <mc:Fallback>
            <w:pict>
              <v:shape id="_x0000_s1026" o:spid="_x0000_s1026" o:spt="176" type="#_x0000_t176" style="position:absolute;left:0pt;margin-left:27pt;margin-top:-15.7pt;height:124.75pt;width:183.75pt;z-index:251660288;mso-width-relative:page;mso-height-relative:page;" fillcolor="#FFFFFF" filled="t" stroked="t" coordsize="21600,21600" o:gfxdata="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JSlP9gAAAAKAQAADwAAAAAAAAABACAAAAAiAAAAZHJzL2Rvd25yZXYueG1sUEsBAhQAFAAA&#10;AAgAh07iQE7PGzEoAgAAUAQAAA4AAAAAAAAAAQAgAAAAJwEAAGRycy9lMm9Eb2MueG1sUEsFBgAA&#10;AAAGAAYAWQEAAMEFAAAAAA==&#10;">
                <v:fill on="t" focussize="0,0"/>
                <v:stroke color="#000000" joinstyle="miter"/>
                <v:imagedata o:title=""/>
                <o:lock v:ext="edit" aspectratio="f"/>
                <v:textbox>
                  <w:txbxContent>
                    <w:p w14:paraId="536D41FE">
                      <w:pPr>
                        <w:jc w:val="center"/>
                        <w:rPr>
                          <w:rFonts w:ascii="Times New Roman" w:hAnsi="Times New Roman" w:eastAsia="宋体" w:cs="Times New Roman"/>
                          <w:szCs w:val="21"/>
                        </w:rPr>
                      </w:pPr>
                    </w:p>
                    <w:p w14:paraId="1FC6CE93">
                      <w:pPr>
                        <w:spacing w:line="4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法定代表人</w:t>
                      </w:r>
                    </w:p>
                    <w:p w14:paraId="35B9651D">
                      <w:pPr>
                        <w:spacing w:line="4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居民身份证复印件正面</w:t>
                      </w:r>
                    </w:p>
                    <w:p w14:paraId="6A213E87">
                      <w:pPr>
                        <w:widowControl/>
                        <w:spacing w:line="400" w:lineRule="exact"/>
                        <w:ind w:firstLine="1050" w:firstLineChars="500"/>
                        <w:jc w:val="both"/>
                        <w:rPr>
                          <w:rFonts w:hint="eastAsia" w:ascii="Times New Roman" w:hAnsi="Times New Roman" w:eastAsia="宋体" w:cs="Times New Roman"/>
                          <w:kern w:val="0"/>
                          <w:sz w:val="21"/>
                          <w:szCs w:val="22"/>
                          <w:lang w:val="en-US" w:eastAsia="zh-CN" w:bidi="ar-SA"/>
                        </w:rPr>
                      </w:pPr>
                    </w:p>
                  </w:txbxContent>
                </v:textbox>
              </v:shape>
            </w:pict>
          </mc:Fallback>
        </mc:AlternateContent>
      </w:r>
    </w:p>
    <w:p w14:paraId="2763D1CE">
      <w:pPr>
        <w:spacing w:line="480" w:lineRule="exact"/>
        <w:jc w:val="center"/>
        <w:rPr>
          <w:rFonts w:hint="eastAsia" w:ascii="宋体" w:hAnsi="宋体" w:eastAsia="宋体" w:cs="宋体"/>
          <w:b/>
          <w:color w:val="auto"/>
          <w:szCs w:val="21"/>
        </w:rPr>
      </w:pPr>
    </w:p>
    <w:p w14:paraId="6599FA8A">
      <w:pPr>
        <w:spacing w:line="480" w:lineRule="exact"/>
        <w:jc w:val="center"/>
        <w:rPr>
          <w:rFonts w:hint="eastAsia" w:ascii="宋体" w:hAnsi="宋体" w:eastAsia="宋体" w:cs="宋体"/>
          <w:b/>
          <w:color w:val="auto"/>
          <w:szCs w:val="21"/>
        </w:rPr>
      </w:pPr>
    </w:p>
    <w:p w14:paraId="20821147">
      <w:pPr>
        <w:spacing w:line="480" w:lineRule="exact"/>
        <w:jc w:val="center"/>
        <w:rPr>
          <w:rFonts w:hint="eastAsia" w:ascii="宋体" w:hAnsi="宋体" w:eastAsia="宋体" w:cs="宋体"/>
          <w:b/>
          <w:color w:val="auto"/>
          <w:szCs w:val="21"/>
        </w:rPr>
      </w:pPr>
    </w:p>
    <w:p w14:paraId="1915E496">
      <w:pPr>
        <w:spacing w:line="480" w:lineRule="exact"/>
        <w:jc w:val="center"/>
        <w:rPr>
          <w:rFonts w:hint="eastAsia" w:ascii="宋体" w:hAnsi="宋体" w:eastAsia="宋体" w:cs="宋体"/>
          <w:b/>
          <w:color w:val="auto"/>
          <w:szCs w:val="21"/>
        </w:rPr>
      </w:pPr>
    </w:p>
    <w:p w14:paraId="245B444C">
      <w:pPr>
        <w:spacing w:line="480" w:lineRule="exact"/>
        <w:jc w:val="center"/>
        <w:rPr>
          <w:rFonts w:hint="eastAsia" w:ascii="宋体" w:hAnsi="宋体" w:eastAsia="宋体" w:cs="宋体"/>
          <w:b/>
          <w:color w:val="auto"/>
          <w:szCs w:val="21"/>
        </w:rPr>
      </w:pPr>
    </w:p>
    <w:p w14:paraId="73F5848C">
      <w:pPr>
        <w:spacing w:line="480" w:lineRule="exact"/>
        <w:jc w:val="center"/>
        <w:rPr>
          <w:rFonts w:ascii="宋体" w:hAnsi="宋体" w:cs="宋体"/>
          <w:b/>
          <w:color w:val="auto"/>
          <w:szCs w:val="21"/>
        </w:rPr>
      </w:pPr>
      <w:r>
        <w:rPr>
          <w:rFonts w:hint="eastAsia" w:ascii="宋体" w:hAnsi="宋体" w:eastAsia="宋体" w:cs="宋体"/>
          <w:b/>
          <w:color w:val="auto"/>
          <w:szCs w:val="21"/>
        </w:rPr>
        <mc:AlternateContent>
          <mc:Choice Requires="wps">
            <w:drawing>
              <wp:anchor distT="0" distB="0" distL="114300" distR="114300" simplePos="0" relativeHeight="251659264" behindDoc="0" locked="0" layoutInCell="1" allowOverlap="1">
                <wp:simplePos x="0" y="0"/>
                <wp:positionH relativeFrom="column">
                  <wp:posOffset>1134745</wp:posOffset>
                </wp:positionH>
                <wp:positionV relativeFrom="paragraph">
                  <wp:posOffset>6338570</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2D8572B">
                            <w:pPr>
                              <w:jc w:val="center"/>
                              <w:rPr>
                                <w:rFonts w:ascii="Times New Roman" w:hAnsi="Times New Roman" w:eastAsia="宋体" w:cs="Times New Roman"/>
                                <w:szCs w:val="21"/>
                              </w:rPr>
                            </w:pPr>
                          </w:p>
                          <w:p w14:paraId="33D49428">
                            <w:pPr>
                              <w:spacing w:line="4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法定代表人</w:t>
                            </w:r>
                          </w:p>
                          <w:p w14:paraId="6C999F26">
                            <w:pPr>
                              <w:spacing w:line="4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居民身份证复印件正面</w:t>
                            </w:r>
                          </w:p>
                          <w:p w14:paraId="1D0F6A57">
                            <w:pPr>
                              <w:widowControl/>
                              <w:spacing w:line="400" w:lineRule="exact"/>
                              <w:ind w:firstLine="1050" w:firstLineChars="500"/>
                              <w:jc w:val="both"/>
                              <w:rPr>
                                <w:rFonts w:hint="eastAsia" w:ascii="Times New Roman" w:hAnsi="Times New Roman" w:eastAsia="宋体" w:cs="Times New Roman"/>
                                <w:kern w:val="0"/>
                                <w:sz w:val="21"/>
                                <w:szCs w:val="22"/>
                                <w:lang w:val="en-US" w:eastAsia="zh-CN" w:bidi="ar-SA"/>
                              </w:rPr>
                            </w:pPr>
                          </w:p>
                        </w:txbxContent>
                      </wps:txbx>
                      <wps:bodyPr upright="1"/>
                    </wps:wsp>
                  </a:graphicData>
                </a:graphic>
              </wp:anchor>
            </w:drawing>
          </mc:Choice>
          <mc:Fallback>
            <w:pict>
              <v:shape id="_x0000_s1026" o:spid="_x0000_s1026" o:spt="176" type="#_x0000_t176" style="position:absolute;left:0pt;margin-left:89.35pt;margin-top:499.1pt;height:124.75pt;width:183.75pt;z-index:251659264;mso-width-relative:page;mso-height-relative:page;" fillcolor="#FFFFFF" filled="t" stroked="t" coordsize="21600,21600" o:gfxdata="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nyeJtgAAAAMAQAADwAAAAAAAAABACAAAAAiAAAAZHJzL2Rvd25yZXYueG1sUEsBAhQAFAAA&#10;AAgAh07iQCy3DNsoAgAAUAQAAA4AAAAAAAAAAQAgAAAAJwEAAGRycy9lMm9Eb2MueG1sUEsFBgAA&#10;AAAGAAYAWQEAAMEFAAAAAA==&#10;">
                <v:fill on="t" focussize="0,0"/>
                <v:stroke color="#000000" joinstyle="miter"/>
                <v:imagedata o:title=""/>
                <o:lock v:ext="edit" aspectratio="f"/>
                <v:textbox>
                  <w:txbxContent>
                    <w:p w14:paraId="22D8572B">
                      <w:pPr>
                        <w:jc w:val="center"/>
                        <w:rPr>
                          <w:rFonts w:ascii="Times New Roman" w:hAnsi="Times New Roman" w:eastAsia="宋体" w:cs="Times New Roman"/>
                          <w:szCs w:val="21"/>
                        </w:rPr>
                      </w:pPr>
                    </w:p>
                    <w:p w14:paraId="33D49428">
                      <w:pPr>
                        <w:spacing w:line="4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法定代表人</w:t>
                      </w:r>
                    </w:p>
                    <w:p w14:paraId="6C999F26">
                      <w:pPr>
                        <w:spacing w:line="4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居民身份证复印件正面</w:t>
                      </w:r>
                    </w:p>
                    <w:p w14:paraId="1D0F6A57">
                      <w:pPr>
                        <w:widowControl/>
                        <w:spacing w:line="400" w:lineRule="exact"/>
                        <w:ind w:firstLine="1050" w:firstLineChars="500"/>
                        <w:jc w:val="both"/>
                        <w:rPr>
                          <w:rFonts w:hint="eastAsia" w:ascii="Times New Roman" w:hAnsi="Times New Roman" w:eastAsia="宋体" w:cs="Times New Roman"/>
                          <w:kern w:val="0"/>
                          <w:sz w:val="21"/>
                          <w:szCs w:val="22"/>
                          <w:lang w:val="en-US" w:eastAsia="zh-CN" w:bidi="ar-SA"/>
                        </w:rPr>
                      </w:pPr>
                    </w:p>
                  </w:txbxContent>
                </v:textbox>
              </v:shape>
            </w:pict>
          </mc:Fallback>
        </mc:AlternateContent>
      </w:r>
    </w:p>
    <w:p w14:paraId="3E2681ED">
      <w:pPr>
        <w:rPr>
          <w:rFonts w:ascii="宋体" w:hAnsi="宋体" w:cs="宋体"/>
          <w:b/>
          <w:color w:val="auto"/>
          <w:szCs w:val="21"/>
        </w:rPr>
      </w:pPr>
      <w:r>
        <w:rPr>
          <w:rFonts w:hint="eastAsia" w:ascii="宋体" w:hAnsi="宋体" w:cs="宋体"/>
          <w:b/>
          <w:color w:val="auto"/>
          <w:szCs w:val="21"/>
        </w:rPr>
        <w:br w:type="page"/>
      </w:r>
    </w:p>
    <w:p w14:paraId="3438D4D5">
      <w:pPr>
        <w:spacing w:line="480" w:lineRule="exact"/>
        <w:jc w:val="center"/>
        <w:rPr>
          <w:rFonts w:ascii="宋体" w:hAnsi="宋体" w:cs="宋体"/>
          <w:b/>
          <w:color w:val="auto"/>
          <w:szCs w:val="21"/>
        </w:rPr>
      </w:pPr>
      <w:r>
        <w:rPr>
          <w:rFonts w:hint="eastAsia" w:ascii="宋体" w:hAnsi="宋体" w:cs="宋体"/>
          <w:b/>
          <w:color w:val="auto"/>
          <w:szCs w:val="21"/>
        </w:rPr>
        <w:t>（2）法定代表人/负责人授权委托书</w:t>
      </w:r>
      <w:bookmarkEnd w:id="454"/>
      <w:bookmarkEnd w:id="455"/>
      <w:bookmarkEnd w:id="456"/>
      <w:bookmarkEnd w:id="457"/>
    </w:p>
    <w:p w14:paraId="27DE2B55">
      <w:pPr>
        <w:adjustRightInd w:val="0"/>
        <w:snapToGrid w:val="0"/>
        <w:spacing w:line="300" w:lineRule="auto"/>
        <w:rPr>
          <w:rFonts w:ascii="宋体" w:hAnsi="宋体" w:cs="宋体"/>
          <w:color w:val="auto"/>
          <w:szCs w:val="21"/>
        </w:rPr>
      </w:pPr>
    </w:p>
    <w:bookmarkEnd w:id="440"/>
    <w:bookmarkEnd w:id="441"/>
    <w:bookmarkEnd w:id="442"/>
    <w:bookmarkEnd w:id="443"/>
    <w:bookmarkEnd w:id="444"/>
    <w:bookmarkEnd w:id="445"/>
    <w:p w14:paraId="75141B23">
      <w:pPr>
        <w:pStyle w:val="231"/>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auto"/>
          <w:sz w:val="21"/>
          <w:szCs w:val="21"/>
        </w:rPr>
      </w:pPr>
      <w:bookmarkStart w:id="458" w:name="_Toc453695567"/>
      <w:bookmarkStart w:id="459" w:name="_Toc461991258"/>
      <w:bookmarkStart w:id="460" w:name="_Toc453695694"/>
      <w:r>
        <w:rPr>
          <w:color w:val="auto"/>
          <w:sz w:val="21"/>
          <w:szCs w:val="21"/>
        </w:rPr>
        <w:t>致：</w:t>
      </w:r>
      <w:r>
        <w:rPr>
          <w:rFonts w:hint="eastAsia"/>
          <w:color w:val="auto"/>
          <w:sz w:val="21"/>
          <w:szCs w:val="21"/>
        </w:rPr>
        <w:t>韶关市君信招标代理有限公司</w:t>
      </w:r>
    </w:p>
    <w:p w14:paraId="2EE7E07D">
      <w:pPr>
        <w:pStyle w:val="231"/>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auto"/>
          <w:sz w:val="21"/>
          <w:szCs w:val="21"/>
        </w:rPr>
      </w:pPr>
      <w:r>
        <w:rPr>
          <w:color w:val="auto"/>
          <w:sz w:val="21"/>
          <w:szCs w:val="21"/>
        </w:rPr>
        <w:t>本授权书声明：________是注册于</w:t>
      </w:r>
      <w:r>
        <w:rPr>
          <w:color w:val="auto"/>
          <w:sz w:val="21"/>
          <w:szCs w:val="21"/>
          <w:u w:val="single"/>
        </w:rPr>
        <w:t>（国家或地区）</w:t>
      </w:r>
      <w:r>
        <w:rPr>
          <w:color w:val="auto"/>
          <w:sz w:val="21"/>
          <w:szCs w:val="21"/>
        </w:rPr>
        <w:t>的</w:t>
      </w:r>
      <w:r>
        <w:rPr>
          <w:color w:val="auto"/>
          <w:sz w:val="21"/>
          <w:szCs w:val="21"/>
          <w:u w:val="single"/>
        </w:rPr>
        <w:t>（</w:t>
      </w:r>
      <w:r>
        <w:rPr>
          <w:rFonts w:hint="eastAsia"/>
          <w:color w:val="auto"/>
          <w:sz w:val="21"/>
          <w:szCs w:val="21"/>
          <w:u w:val="single"/>
          <w:lang w:val="en-US" w:eastAsia="zh-CN"/>
        </w:rPr>
        <w:t>供应商</w:t>
      </w:r>
      <w:r>
        <w:rPr>
          <w:color w:val="auto"/>
          <w:sz w:val="21"/>
          <w:szCs w:val="21"/>
          <w:u w:val="single"/>
        </w:rPr>
        <w:t>名称）</w:t>
      </w:r>
      <w:r>
        <w:rPr>
          <w:color w:val="auto"/>
          <w:sz w:val="21"/>
          <w:szCs w:val="21"/>
        </w:rPr>
        <w:t>的法定代表人，现任________职务，有效证件号码：________________。现授权</w:t>
      </w:r>
      <w:r>
        <w:rPr>
          <w:color w:val="auto"/>
          <w:sz w:val="21"/>
          <w:szCs w:val="21"/>
          <w:u w:val="single"/>
        </w:rPr>
        <w:t>（姓名、职务）</w:t>
      </w:r>
      <w:r>
        <w:rPr>
          <w:color w:val="auto"/>
          <w:sz w:val="21"/>
          <w:szCs w:val="21"/>
        </w:rPr>
        <w:t>作为我公司的全权代理人，就“</w:t>
      </w:r>
      <w:r>
        <w:rPr>
          <w:rFonts w:hint="eastAsia"/>
          <w:color w:val="auto"/>
          <w:sz w:val="21"/>
          <w:szCs w:val="21"/>
          <w:u w:val="single"/>
          <w:lang w:eastAsia="zh-CN"/>
        </w:rPr>
        <w:t>广东省北江监狱2025-2027年医院外送检验项目</w:t>
      </w:r>
      <w:r>
        <w:rPr>
          <w:color w:val="auto"/>
          <w:sz w:val="21"/>
          <w:szCs w:val="21"/>
        </w:rPr>
        <w:t>”项目采购[采购项目编号为</w:t>
      </w:r>
      <w:r>
        <w:rPr>
          <w:rFonts w:hint="eastAsia"/>
          <w:color w:val="auto"/>
          <w:sz w:val="21"/>
          <w:szCs w:val="21"/>
          <w:lang w:eastAsia="zh-CN"/>
        </w:rPr>
        <w:t>SGJX250527FC</w:t>
      </w:r>
      <w:r>
        <w:rPr>
          <w:color w:val="auto"/>
          <w:sz w:val="21"/>
          <w:szCs w:val="21"/>
        </w:rPr>
        <w:t>]的投标和合同执行，以我方的名义处理一切与之有关的事宜。</w:t>
      </w:r>
    </w:p>
    <w:p w14:paraId="5874391A">
      <w:pPr>
        <w:pStyle w:val="231"/>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auto"/>
          <w:sz w:val="21"/>
          <w:szCs w:val="21"/>
        </w:rPr>
      </w:pPr>
      <w:r>
        <w:rPr>
          <w:color w:val="auto"/>
          <w:sz w:val="21"/>
          <w:szCs w:val="21"/>
        </w:rPr>
        <w:t>本授权书于________年________月________日签字生效，特此声明。</w:t>
      </w:r>
    </w:p>
    <w:p w14:paraId="43DECB2E">
      <w:pPr>
        <w:pStyle w:val="231"/>
        <w:keepNext w:val="0"/>
        <w:keepLines w:val="0"/>
        <w:pageBreakBefore w:val="0"/>
        <w:widowControl/>
        <w:kinsoku/>
        <w:wordWrap/>
        <w:overflowPunct/>
        <w:topLinePunct w:val="0"/>
        <w:autoSpaceDE/>
        <w:autoSpaceDN/>
        <w:bidi w:val="0"/>
        <w:adjustRightInd/>
        <w:snapToGrid/>
        <w:spacing w:line="360" w:lineRule="auto"/>
        <w:textAlignment w:val="auto"/>
        <w:rPr>
          <w:color w:val="auto"/>
          <w:sz w:val="21"/>
          <w:szCs w:val="21"/>
        </w:rPr>
      </w:pPr>
      <w:r>
        <w:rPr>
          <w:color w:val="auto"/>
          <w:sz w:val="21"/>
          <w:szCs w:val="21"/>
        </w:rPr>
        <w:t xml:space="preserve"> </w:t>
      </w:r>
      <w:r>
        <w:rPr>
          <w:rFonts w:hint="eastAsia"/>
          <w:color w:val="auto"/>
          <w:sz w:val="21"/>
          <w:szCs w:val="21"/>
          <w:lang w:val="en-US" w:eastAsia="zh-CN"/>
        </w:rPr>
        <w:t>供应商</w:t>
      </w:r>
      <w:r>
        <w:rPr>
          <w:color w:val="auto"/>
          <w:sz w:val="21"/>
          <w:szCs w:val="21"/>
        </w:rPr>
        <w:t>（盖章）：__________________</w:t>
      </w:r>
    </w:p>
    <w:p w14:paraId="02171830">
      <w:pPr>
        <w:pStyle w:val="231"/>
        <w:keepNext w:val="0"/>
        <w:keepLines w:val="0"/>
        <w:pageBreakBefore w:val="0"/>
        <w:widowControl/>
        <w:kinsoku/>
        <w:wordWrap/>
        <w:overflowPunct/>
        <w:topLinePunct w:val="0"/>
        <w:autoSpaceDE/>
        <w:autoSpaceDN/>
        <w:bidi w:val="0"/>
        <w:adjustRightInd/>
        <w:snapToGrid/>
        <w:spacing w:line="360" w:lineRule="auto"/>
        <w:textAlignment w:val="auto"/>
        <w:rPr>
          <w:color w:val="auto"/>
          <w:sz w:val="21"/>
          <w:szCs w:val="21"/>
        </w:rPr>
      </w:pPr>
      <w:r>
        <w:rPr>
          <w:color w:val="auto"/>
          <w:sz w:val="21"/>
          <w:szCs w:val="21"/>
        </w:rPr>
        <w:t xml:space="preserve"> 地址：__________________</w:t>
      </w:r>
    </w:p>
    <w:p w14:paraId="315633A8">
      <w:pPr>
        <w:pStyle w:val="231"/>
        <w:keepNext w:val="0"/>
        <w:keepLines w:val="0"/>
        <w:pageBreakBefore w:val="0"/>
        <w:widowControl/>
        <w:kinsoku/>
        <w:wordWrap/>
        <w:overflowPunct/>
        <w:topLinePunct w:val="0"/>
        <w:autoSpaceDE/>
        <w:autoSpaceDN/>
        <w:bidi w:val="0"/>
        <w:adjustRightInd/>
        <w:snapToGrid/>
        <w:spacing w:line="360" w:lineRule="auto"/>
        <w:textAlignment w:val="auto"/>
        <w:rPr>
          <w:color w:val="auto"/>
          <w:sz w:val="21"/>
          <w:szCs w:val="21"/>
        </w:rPr>
      </w:pPr>
      <w:r>
        <w:rPr>
          <w:color w:val="auto"/>
          <w:sz w:val="21"/>
          <w:szCs w:val="21"/>
        </w:rPr>
        <w:t xml:space="preserve"> 法定代表人（签字或盖章）：__________________</w:t>
      </w:r>
    </w:p>
    <w:p w14:paraId="07FD4DB8">
      <w:pPr>
        <w:pStyle w:val="231"/>
        <w:keepNext w:val="0"/>
        <w:keepLines w:val="0"/>
        <w:pageBreakBefore w:val="0"/>
        <w:widowControl/>
        <w:kinsoku/>
        <w:wordWrap/>
        <w:overflowPunct/>
        <w:topLinePunct w:val="0"/>
        <w:autoSpaceDE/>
        <w:autoSpaceDN/>
        <w:bidi w:val="0"/>
        <w:adjustRightInd/>
        <w:snapToGrid/>
        <w:spacing w:line="360" w:lineRule="auto"/>
        <w:textAlignment w:val="auto"/>
        <w:rPr>
          <w:color w:val="auto"/>
          <w:sz w:val="21"/>
          <w:szCs w:val="21"/>
        </w:rPr>
      </w:pPr>
      <w:r>
        <w:rPr>
          <w:color w:val="auto"/>
          <w:sz w:val="21"/>
          <w:szCs w:val="21"/>
        </w:rPr>
        <w:t xml:space="preserve"> 职务：__________________</w:t>
      </w:r>
    </w:p>
    <w:p w14:paraId="557F3F60">
      <w:pPr>
        <w:pStyle w:val="231"/>
        <w:keepNext w:val="0"/>
        <w:keepLines w:val="0"/>
        <w:pageBreakBefore w:val="0"/>
        <w:widowControl/>
        <w:kinsoku/>
        <w:wordWrap/>
        <w:overflowPunct/>
        <w:topLinePunct w:val="0"/>
        <w:autoSpaceDE/>
        <w:autoSpaceDN/>
        <w:bidi w:val="0"/>
        <w:adjustRightInd/>
        <w:snapToGrid/>
        <w:spacing w:line="360" w:lineRule="auto"/>
        <w:textAlignment w:val="auto"/>
        <w:rPr>
          <w:color w:val="auto"/>
          <w:sz w:val="21"/>
          <w:szCs w:val="21"/>
        </w:rPr>
      </w:pPr>
      <w:r>
        <w:rPr>
          <w:color w:val="auto"/>
          <w:sz w:val="21"/>
          <w:szCs w:val="21"/>
        </w:rPr>
        <w:t xml:space="preserve"> 被授权人（签字或盖章）：__________________</w:t>
      </w:r>
    </w:p>
    <w:p w14:paraId="6F431C95">
      <w:pPr>
        <w:pStyle w:val="231"/>
        <w:keepNext w:val="0"/>
        <w:keepLines w:val="0"/>
        <w:pageBreakBefore w:val="0"/>
        <w:widowControl/>
        <w:kinsoku/>
        <w:wordWrap/>
        <w:overflowPunct/>
        <w:topLinePunct w:val="0"/>
        <w:autoSpaceDE/>
        <w:autoSpaceDN/>
        <w:bidi w:val="0"/>
        <w:adjustRightInd/>
        <w:snapToGrid/>
        <w:spacing w:line="360" w:lineRule="auto"/>
        <w:textAlignment w:val="auto"/>
        <w:rPr>
          <w:color w:val="auto"/>
          <w:sz w:val="21"/>
          <w:szCs w:val="21"/>
        </w:rPr>
      </w:pPr>
      <w:r>
        <w:rPr>
          <w:color w:val="auto"/>
          <w:sz w:val="21"/>
          <w:szCs w:val="21"/>
        </w:rPr>
        <w:t xml:space="preserve"> 职务：__________________</w:t>
      </w:r>
    </w:p>
    <w:p w14:paraId="3B433BB9">
      <w:pPr>
        <w:pStyle w:val="231"/>
        <w:keepNext w:val="0"/>
        <w:keepLines w:val="0"/>
        <w:pageBreakBefore w:val="0"/>
        <w:widowControl/>
        <w:kinsoku/>
        <w:wordWrap/>
        <w:overflowPunct/>
        <w:topLinePunct w:val="0"/>
        <w:autoSpaceDE/>
        <w:autoSpaceDN/>
        <w:bidi w:val="0"/>
        <w:adjustRightInd/>
        <w:snapToGrid/>
        <w:spacing w:line="360" w:lineRule="auto"/>
        <w:textAlignment w:val="auto"/>
        <w:rPr>
          <w:color w:val="auto"/>
          <w:sz w:val="21"/>
          <w:szCs w:val="21"/>
        </w:rPr>
      </w:pPr>
      <w:r>
        <w:rPr>
          <w:color w:val="auto"/>
          <w:sz w:val="21"/>
          <w:szCs w:val="21"/>
        </w:rPr>
        <w:t>日期： 年 月 日</w:t>
      </w:r>
    </w:p>
    <w:p w14:paraId="065E66B8">
      <w:pPr>
        <w:rPr>
          <w:rFonts w:hint="eastAsia" w:ascii="Times New Roman" w:hAnsi="Times New Roman" w:eastAsia="宋体" w:cs="Times New Roman"/>
          <w:color w:val="auto"/>
        </w:rPr>
      </w:pPr>
    </w:p>
    <w:p w14:paraId="6B9527FB">
      <w:pPr>
        <w:rPr>
          <w:rFonts w:hint="eastAsia" w:ascii="宋体" w:hAnsi="宋体" w:eastAsia="宋体" w:cs="宋体"/>
          <w:color w:val="auto"/>
        </w:rPr>
      </w:pPr>
      <w:r>
        <w:rPr>
          <w:rFonts w:hint="eastAsia" w:ascii="宋体" w:hAnsi="宋体" w:eastAsia="宋体" w:cs="宋体"/>
          <w:color w:val="auto"/>
          <w:szCs w:val="21"/>
          <w:u w:val="single"/>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57785</wp:posOffset>
                </wp:positionV>
                <wp:extent cx="2333625" cy="1584325"/>
                <wp:effectExtent l="4445" t="4445" r="5080" b="11430"/>
                <wp:wrapTopAndBottom/>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BFBA2A5">
                            <w:pPr>
                              <w:jc w:val="center"/>
                              <w:rPr>
                                <w:rFonts w:ascii="Times New Roman" w:hAnsi="Times New Roman" w:eastAsia="宋体" w:cs="Times New Roman"/>
                                <w:szCs w:val="21"/>
                              </w:rPr>
                            </w:pPr>
                          </w:p>
                          <w:p w14:paraId="08297024">
                            <w:pPr>
                              <w:spacing w:line="4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授权代表</w:t>
                            </w:r>
                          </w:p>
                          <w:p w14:paraId="62AE5EEA">
                            <w:pPr>
                              <w:spacing w:line="4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居民身份证复印件反面</w:t>
                            </w:r>
                          </w:p>
                          <w:p w14:paraId="415A65CC">
                            <w:pPr>
                              <w:spacing w:line="400" w:lineRule="exact"/>
                              <w:jc w:val="center"/>
                              <w:rPr>
                                <w:rFonts w:hint="eastAsia" w:ascii="Times New Roman" w:hAnsi="Times New Roman" w:eastAsia="宋体" w:cs="Times New Roman"/>
                                <w:szCs w:val="21"/>
                              </w:rPr>
                            </w:pPr>
                          </w:p>
                        </w:txbxContent>
                      </wps:txbx>
                      <wps:bodyPr upright="1"/>
                    </wps:wsp>
                  </a:graphicData>
                </a:graphic>
              </wp:anchor>
            </w:drawing>
          </mc:Choice>
          <mc:Fallback>
            <w:pict>
              <v:shape id="_x0000_s1026" o:spid="_x0000_s1026" o:spt="176" type="#_x0000_t176" style="position:absolute;left:0pt;margin-left:234pt;margin-top:4.55pt;height:124.75pt;width:183.75pt;mso-wrap-distance-bottom:0pt;mso-wrap-distance-top:0pt;z-index:251663360;mso-width-relative:page;mso-height-relative:page;" fillcolor="#FFFFFF" filled="t" stroked="t" coordsize="21600,21600" o:gfxdata="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kZ15jYAAAACQEAAA8AAAAAAAAAAQAgAAAAIgAAAGRycy9kb3ducmV2LnhtbFBLAQIUABQA&#10;AAAIAIdO4kBxL4tzKQIAAFIEAAAOAAAAAAAAAAEAIAAAACcBAABkcnMvZTJvRG9jLnhtbFBLBQYA&#10;AAAABgAGAFkBAADCBQAAAAA=&#10;">
                <v:fill on="t" focussize="0,0"/>
                <v:stroke color="#000000" joinstyle="miter"/>
                <v:imagedata o:title=""/>
                <o:lock v:ext="edit" aspectratio="f"/>
                <v:textbox>
                  <w:txbxContent>
                    <w:p w14:paraId="7BFBA2A5">
                      <w:pPr>
                        <w:jc w:val="center"/>
                        <w:rPr>
                          <w:rFonts w:ascii="Times New Roman" w:hAnsi="Times New Roman" w:eastAsia="宋体" w:cs="Times New Roman"/>
                          <w:szCs w:val="21"/>
                        </w:rPr>
                      </w:pPr>
                    </w:p>
                    <w:p w14:paraId="08297024">
                      <w:pPr>
                        <w:spacing w:line="4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授权代表</w:t>
                      </w:r>
                    </w:p>
                    <w:p w14:paraId="62AE5EEA">
                      <w:pPr>
                        <w:spacing w:line="4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居民身份证复印件反面</w:t>
                      </w:r>
                    </w:p>
                    <w:p w14:paraId="415A65CC">
                      <w:pPr>
                        <w:spacing w:line="400" w:lineRule="exact"/>
                        <w:jc w:val="center"/>
                        <w:rPr>
                          <w:rFonts w:hint="eastAsia" w:ascii="Times New Roman" w:hAnsi="Times New Roman" w:eastAsia="宋体" w:cs="Times New Roman"/>
                          <w:szCs w:val="21"/>
                        </w:rPr>
                      </w:pPr>
                    </w:p>
                  </w:txbxContent>
                </v:textbox>
                <w10:wrap type="topAndBottom"/>
              </v:shape>
            </w:pict>
          </mc:Fallback>
        </mc:AlternateContent>
      </w:r>
      <w:r>
        <w:rPr>
          <w:rFonts w:hint="eastAsia" w:ascii="宋体" w:hAnsi="宋体" w:eastAsia="宋体" w:cs="宋体"/>
          <w:color w:val="auto"/>
          <w:szCs w:val="21"/>
          <w:u w:val="single"/>
        </w:rPr>
        <mc:AlternateContent>
          <mc:Choice Requires="wps">
            <w:drawing>
              <wp:anchor distT="0" distB="0" distL="114300" distR="114300" simplePos="0" relativeHeight="251662336" behindDoc="0" locked="0" layoutInCell="1" allowOverlap="1">
                <wp:simplePos x="0" y="0"/>
                <wp:positionH relativeFrom="column">
                  <wp:posOffset>352425</wp:posOffset>
                </wp:positionH>
                <wp:positionV relativeFrom="paragraph">
                  <wp:posOffset>80010</wp:posOffset>
                </wp:positionV>
                <wp:extent cx="2333625" cy="1584325"/>
                <wp:effectExtent l="4445" t="4445" r="5080" b="11430"/>
                <wp:wrapNone/>
                <wp:docPr id="9"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A7558F2">
                            <w:pPr>
                              <w:jc w:val="center"/>
                              <w:rPr>
                                <w:rFonts w:ascii="Times New Roman" w:hAnsi="Times New Roman" w:eastAsia="宋体" w:cs="Times New Roman"/>
                                <w:szCs w:val="21"/>
                              </w:rPr>
                            </w:pPr>
                          </w:p>
                          <w:p w14:paraId="1A13AEA9">
                            <w:pPr>
                              <w:spacing w:line="4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授权代表</w:t>
                            </w:r>
                          </w:p>
                          <w:p w14:paraId="243FDE9A">
                            <w:pPr>
                              <w:spacing w:line="4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居民身份证复印件正面</w:t>
                            </w:r>
                          </w:p>
                          <w:p w14:paraId="36DC13C8">
                            <w:pPr>
                              <w:widowControl/>
                              <w:spacing w:line="400" w:lineRule="exact"/>
                              <w:ind w:firstLine="1050" w:firstLineChars="500"/>
                              <w:jc w:val="left"/>
                              <w:rPr>
                                <w:rFonts w:hint="eastAsia" w:ascii="Times New Roman" w:hAnsi="Times New Roman" w:eastAsia="宋体" w:cs="Times New Roman"/>
                                <w:kern w:val="0"/>
                                <w:sz w:val="21"/>
                                <w:szCs w:val="22"/>
                                <w:lang w:val="en-US" w:eastAsia="zh-CN" w:bidi="ar-SA"/>
                              </w:rPr>
                            </w:pPr>
                          </w:p>
                        </w:txbxContent>
                      </wps:txbx>
                      <wps:bodyPr upright="1"/>
                    </wps:wsp>
                  </a:graphicData>
                </a:graphic>
              </wp:anchor>
            </w:drawing>
          </mc:Choice>
          <mc:Fallback>
            <w:pict>
              <v:shape id="_x0000_s1026" o:spid="_x0000_s1026" o:spt="176" type="#_x0000_t176" style="position:absolute;left:0pt;margin-left:27.75pt;margin-top:6.3pt;height:124.75pt;width:183.75pt;z-index:251662336;mso-width-relative:page;mso-height-relative:page;" fillcolor="#FFFFFF" filled="t" stroked="t" coordsize="21600,21600" o:gfxdata="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mZaEh1wAAAAkBAAAPAAAAAAAAAAEAIAAAACIAAABkcnMvZG93bnJldi54bWxQSwECFAAUAAAA&#10;CACHTuJA1Q6EHSgCAABQBAAADgAAAAAAAAABACAAAAAmAQAAZHJzL2Uyb0RvYy54bWxQSwUGAAAA&#10;AAYABgBZAQAAwAUAAAAA&#10;">
                <v:fill on="t" focussize="0,0"/>
                <v:stroke color="#000000" joinstyle="miter"/>
                <v:imagedata o:title=""/>
                <o:lock v:ext="edit" aspectratio="f"/>
                <v:textbox>
                  <w:txbxContent>
                    <w:p w14:paraId="6A7558F2">
                      <w:pPr>
                        <w:jc w:val="center"/>
                        <w:rPr>
                          <w:rFonts w:ascii="Times New Roman" w:hAnsi="Times New Roman" w:eastAsia="宋体" w:cs="Times New Roman"/>
                          <w:szCs w:val="21"/>
                        </w:rPr>
                      </w:pPr>
                    </w:p>
                    <w:p w14:paraId="1A13AEA9">
                      <w:pPr>
                        <w:spacing w:line="4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授权代表</w:t>
                      </w:r>
                    </w:p>
                    <w:p w14:paraId="243FDE9A">
                      <w:pPr>
                        <w:spacing w:line="40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居民身份证复印件正面</w:t>
                      </w:r>
                    </w:p>
                    <w:p w14:paraId="36DC13C8">
                      <w:pPr>
                        <w:widowControl/>
                        <w:spacing w:line="400" w:lineRule="exact"/>
                        <w:ind w:firstLine="1050" w:firstLineChars="500"/>
                        <w:jc w:val="left"/>
                        <w:rPr>
                          <w:rFonts w:hint="eastAsia" w:ascii="Times New Roman" w:hAnsi="Times New Roman" w:eastAsia="宋体" w:cs="Times New Roman"/>
                          <w:kern w:val="0"/>
                          <w:sz w:val="21"/>
                          <w:szCs w:val="22"/>
                          <w:lang w:val="en-US" w:eastAsia="zh-CN" w:bidi="ar-SA"/>
                        </w:rPr>
                      </w:pPr>
                    </w:p>
                  </w:txbxContent>
                </v:textbox>
              </v:shape>
            </w:pict>
          </mc:Fallback>
        </mc:AlternateContent>
      </w:r>
    </w:p>
    <w:p w14:paraId="0407EA33">
      <w:pPr>
        <w:rPr>
          <w:rFonts w:ascii="宋体" w:hAnsi="宋体" w:cs="宋体"/>
          <w:b/>
          <w:color w:val="auto"/>
          <w:sz w:val="28"/>
          <w:szCs w:val="28"/>
        </w:rPr>
      </w:pPr>
      <w:r>
        <w:rPr>
          <w:rFonts w:hint="eastAsia" w:ascii="宋体" w:hAnsi="宋体" w:cs="宋体"/>
          <w:b/>
          <w:color w:val="auto"/>
          <w:sz w:val="28"/>
          <w:szCs w:val="28"/>
        </w:rPr>
        <w:br w:type="page"/>
      </w:r>
    </w:p>
    <w:p w14:paraId="2F66E8D3">
      <w:pPr>
        <w:pStyle w:val="24"/>
        <w:spacing w:line="480" w:lineRule="exact"/>
        <w:jc w:val="center"/>
        <w:rPr>
          <w:rFonts w:hAnsi="宋体" w:cs="宋体"/>
          <w:b/>
          <w:color w:val="auto"/>
          <w:sz w:val="28"/>
          <w:szCs w:val="28"/>
        </w:rPr>
      </w:pPr>
      <w:r>
        <w:rPr>
          <w:rFonts w:hint="eastAsia" w:hAnsi="宋体" w:cs="宋体"/>
          <w:b/>
          <w:color w:val="auto"/>
          <w:sz w:val="28"/>
          <w:szCs w:val="28"/>
        </w:rPr>
        <w:t>3、资格条件承诺函</w:t>
      </w:r>
    </w:p>
    <w:p w14:paraId="399B9CB8">
      <w:pPr>
        <w:pStyle w:val="24"/>
        <w:spacing w:line="480" w:lineRule="exact"/>
        <w:rPr>
          <w:rFonts w:hAnsi="宋体" w:cs="宋体"/>
          <w:color w:val="auto"/>
        </w:rPr>
      </w:pPr>
    </w:p>
    <w:p w14:paraId="25770828">
      <w:pPr>
        <w:wordWrap w:val="0"/>
        <w:topLinePunct/>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我方</w:t>
      </w:r>
      <w:r>
        <w:rPr>
          <w:rFonts w:hint="eastAsia" w:ascii="宋体" w:hAnsi="宋体" w:cs="宋体"/>
          <w:color w:val="auto"/>
          <w:szCs w:val="21"/>
          <w:u w:val="single"/>
        </w:rPr>
        <w:t xml:space="preserve">    （供应商名称）    </w:t>
      </w:r>
      <w:r>
        <w:rPr>
          <w:rFonts w:hint="eastAsia" w:ascii="宋体" w:hAnsi="宋体" w:cs="宋体"/>
          <w:color w:val="auto"/>
          <w:szCs w:val="21"/>
        </w:rPr>
        <w:t>符合</w:t>
      </w:r>
      <w:r>
        <w:rPr>
          <w:rFonts w:hint="eastAsia" w:ascii="宋体" w:hAnsi="宋体" w:cs="宋体"/>
          <w:color w:val="auto"/>
          <w:szCs w:val="21"/>
          <w:lang w:eastAsia="zh-CN"/>
        </w:rPr>
        <w:t>《</w:t>
      </w:r>
      <w:r>
        <w:rPr>
          <w:rFonts w:hint="eastAsia" w:ascii="宋体" w:hAnsi="宋体" w:cs="宋体"/>
          <w:color w:val="auto"/>
          <w:szCs w:val="21"/>
          <w:lang w:val="en-US" w:eastAsia="zh-CN"/>
        </w:rPr>
        <w:t>磋商邀请函</w:t>
      </w:r>
      <w:r>
        <w:rPr>
          <w:rFonts w:hint="eastAsia" w:ascii="宋体" w:hAnsi="宋体" w:cs="宋体"/>
          <w:color w:val="auto"/>
          <w:szCs w:val="21"/>
          <w:lang w:eastAsia="zh-CN"/>
        </w:rPr>
        <w:t>》“</w:t>
      </w:r>
      <w:r>
        <w:rPr>
          <w:rFonts w:hint="eastAsia" w:ascii="宋体" w:hAnsi="宋体" w:cs="宋体"/>
          <w:color w:val="auto"/>
          <w:szCs w:val="22"/>
        </w:rPr>
        <w:t>供应商应具备有关法规规定的条件</w:t>
      </w:r>
      <w:r>
        <w:rPr>
          <w:rFonts w:hint="eastAsia" w:ascii="宋体" w:hAnsi="宋体" w:cs="宋体"/>
          <w:color w:val="auto"/>
          <w:szCs w:val="21"/>
          <w:lang w:eastAsia="zh-CN"/>
        </w:rPr>
        <w:t>”</w:t>
      </w:r>
      <w:r>
        <w:rPr>
          <w:rFonts w:hint="eastAsia" w:ascii="宋体" w:hAnsi="宋体" w:cs="宋体"/>
          <w:color w:val="auto"/>
          <w:szCs w:val="21"/>
        </w:rPr>
        <w:t>第（二）项、第（三）项、第（四）项、第（五）项规定条件，具体包括：</w:t>
      </w:r>
    </w:p>
    <w:p w14:paraId="155FADBE">
      <w:pPr>
        <w:wordWrap w:val="0"/>
        <w:topLinePunct/>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1.具有良好的商业信誉和健全的财务会计制度；</w:t>
      </w:r>
    </w:p>
    <w:p w14:paraId="2A5F3E8D">
      <w:pPr>
        <w:wordWrap w:val="0"/>
        <w:topLinePunct/>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2.具有履行合同所必需的设备和专业技术能力；</w:t>
      </w:r>
    </w:p>
    <w:p w14:paraId="488128B5">
      <w:pPr>
        <w:wordWrap w:val="0"/>
        <w:topLinePunct/>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3.具有依法缴纳税收和社会保障资金的良好记录；</w:t>
      </w:r>
    </w:p>
    <w:p w14:paraId="77449271">
      <w:pPr>
        <w:wordWrap w:val="0"/>
        <w:topLinePunct/>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4.参加采购活动前三年内，在经营活动中没有重大违法记录。</w:t>
      </w:r>
    </w:p>
    <w:p w14:paraId="75EDE19C">
      <w:pPr>
        <w:wordWrap w:val="0"/>
        <w:topLinePunct/>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我方对上述承诺的真实性负责，在评审环节结束后，自愿接受采购单位（采购代理机构）的检查核验，配合提供相关证明材料，证明符合规定的供应商基本资格条件。如有虚假，将依法承担相应法律责任。</w:t>
      </w:r>
    </w:p>
    <w:p w14:paraId="345A062F">
      <w:pPr>
        <w:wordWrap w:val="0"/>
        <w:topLinePunct/>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特此承诺。</w:t>
      </w:r>
    </w:p>
    <w:p w14:paraId="41DEAF36">
      <w:pPr>
        <w:wordWrap w:val="0"/>
        <w:topLinePunct/>
        <w:snapToGrid w:val="0"/>
        <w:rPr>
          <w:rFonts w:ascii="宋体" w:hAnsi="宋体" w:cs="宋体"/>
          <w:color w:val="auto"/>
          <w:szCs w:val="21"/>
        </w:rPr>
      </w:pPr>
    </w:p>
    <w:p w14:paraId="2F96A14B">
      <w:pPr>
        <w:wordWrap w:val="0"/>
        <w:topLinePunct/>
        <w:snapToGrid w:val="0"/>
        <w:rPr>
          <w:rFonts w:ascii="宋体" w:hAnsi="宋体" w:cs="宋体"/>
          <w:color w:val="auto"/>
          <w:szCs w:val="21"/>
        </w:rPr>
      </w:pPr>
    </w:p>
    <w:p w14:paraId="7C4FC5B2">
      <w:pPr>
        <w:pStyle w:val="55"/>
        <w:rPr>
          <w:color w:val="auto"/>
        </w:rPr>
      </w:pPr>
    </w:p>
    <w:p w14:paraId="44010684">
      <w:pPr>
        <w:wordWrap w:val="0"/>
        <w:topLinePunct/>
        <w:snapToGrid w:val="0"/>
        <w:rPr>
          <w:rFonts w:ascii="宋体" w:hAnsi="宋体" w:cs="宋体"/>
          <w:color w:val="auto"/>
          <w:szCs w:val="21"/>
        </w:rPr>
      </w:pPr>
    </w:p>
    <w:p w14:paraId="17AE2A13">
      <w:pPr>
        <w:wordWrap w:val="0"/>
        <w:topLinePunct/>
        <w:snapToGrid w:val="0"/>
        <w:rPr>
          <w:rFonts w:ascii="宋体" w:hAnsi="宋体" w:cs="宋体"/>
          <w:color w:val="auto"/>
          <w:szCs w:val="21"/>
        </w:rPr>
      </w:pPr>
    </w:p>
    <w:p w14:paraId="21570C41">
      <w:pPr>
        <w:wordWrap w:val="0"/>
        <w:topLinePunct/>
        <w:snapToGrid w:val="0"/>
        <w:spacing w:line="480" w:lineRule="auto"/>
        <w:jc w:val="right"/>
        <w:rPr>
          <w:rFonts w:ascii="宋体" w:hAnsi="宋体" w:cs="宋体"/>
          <w:color w:val="auto"/>
          <w:szCs w:val="21"/>
        </w:rPr>
      </w:pPr>
      <w:r>
        <w:rPr>
          <w:rFonts w:hint="eastAsia" w:ascii="宋体" w:hAnsi="宋体" w:cs="宋体"/>
          <w:color w:val="auto"/>
          <w:szCs w:val="21"/>
        </w:rPr>
        <w:t>供应商名称（公章）：</w:t>
      </w:r>
      <w:r>
        <w:rPr>
          <w:rFonts w:hint="eastAsia" w:ascii="宋体" w:hAnsi="宋体" w:cs="宋体"/>
          <w:color w:val="auto"/>
          <w:szCs w:val="21"/>
          <w:u w:val="single"/>
        </w:rPr>
        <w:t xml:space="preserve">                  </w:t>
      </w:r>
    </w:p>
    <w:p w14:paraId="1B35EFA3">
      <w:pPr>
        <w:wordWrap w:val="0"/>
        <w:topLinePunct/>
        <w:snapToGrid w:val="0"/>
        <w:spacing w:line="480" w:lineRule="auto"/>
        <w:jc w:val="right"/>
        <w:rPr>
          <w:rFonts w:ascii="宋体" w:hAnsi="宋体" w:cs="宋体"/>
          <w:color w:val="auto"/>
          <w:szCs w:val="21"/>
        </w:rPr>
      </w:pPr>
    </w:p>
    <w:p w14:paraId="091AA45F">
      <w:pPr>
        <w:wordWrap w:val="0"/>
        <w:topLinePunct/>
        <w:snapToGrid w:val="0"/>
        <w:spacing w:line="480" w:lineRule="auto"/>
        <w:jc w:val="right"/>
        <w:rPr>
          <w:rFonts w:ascii="宋体" w:hAnsi="宋体" w:cs="宋体"/>
          <w:color w:val="auto"/>
          <w:szCs w:val="21"/>
        </w:rPr>
      </w:pPr>
      <w:r>
        <w:rPr>
          <w:rFonts w:hint="eastAsia" w:ascii="宋体" w:hAnsi="宋体" w:cs="宋体"/>
          <w:color w:val="auto"/>
          <w:szCs w:val="21"/>
        </w:rPr>
        <w:t>年    月    日</w:t>
      </w:r>
    </w:p>
    <w:p w14:paraId="5BAFC02A">
      <w:pPr>
        <w:adjustRightInd w:val="0"/>
        <w:snapToGrid w:val="0"/>
        <w:spacing w:line="360" w:lineRule="auto"/>
        <w:rPr>
          <w:rFonts w:ascii="宋体" w:hAnsi="宋体" w:cs="宋体"/>
          <w:color w:val="auto"/>
          <w:szCs w:val="21"/>
        </w:rPr>
      </w:pPr>
    </w:p>
    <w:p w14:paraId="10F59C27">
      <w:pPr>
        <w:pStyle w:val="63"/>
        <w:ind w:left="0" w:leftChars="0" w:firstLine="0" w:firstLineChars="0"/>
        <w:rPr>
          <w:rFonts w:ascii="宋体" w:hAnsi="宋体" w:cs="宋体"/>
          <w:color w:val="auto"/>
          <w:szCs w:val="21"/>
        </w:rPr>
      </w:pPr>
    </w:p>
    <w:p w14:paraId="2BB1D091">
      <w:pPr>
        <w:adjustRightInd w:val="0"/>
        <w:snapToGrid w:val="0"/>
        <w:spacing w:line="360" w:lineRule="auto"/>
        <w:rPr>
          <w:rFonts w:ascii="宋体" w:hAnsi="宋体" w:cs="宋体"/>
          <w:b/>
          <w:color w:val="auto"/>
          <w:sz w:val="28"/>
          <w:szCs w:val="28"/>
        </w:rPr>
      </w:pPr>
      <w:r>
        <w:rPr>
          <w:rFonts w:hint="eastAsia" w:ascii="宋体" w:hAnsi="宋体" w:cs="宋体"/>
          <w:b/>
          <w:color w:val="auto"/>
          <w:sz w:val="28"/>
          <w:szCs w:val="28"/>
        </w:rPr>
        <w:t>附：资格证明文件</w:t>
      </w:r>
    </w:p>
    <w:p w14:paraId="78A2A5C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根据第一章磋商邀请函中“</w:t>
      </w:r>
      <w:r>
        <w:rPr>
          <w:rFonts w:hint="eastAsia" w:ascii="宋体" w:hAnsi="宋体" w:cs="宋体"/>
          <w:color w:val="auto"/>
          <w:szCs w:val="21"/>
          <w:lang w:val="en-US" w:eastAsia="zh-CN"/>
        </w:rPr>
        <w:t>申请人</w:t>
      </w:r>
      <w:r>
        <w:rPr>
          <w:rFonts w:hint="eastAsia" w:ascii="宋体" w:hAnsi="宋体" w:cs="宋体"/>
          <w:color w:val="auto"/>
          <w:szCs w:val="21"/>
        </w:rPr>
        <w:t>资格”提供证明文件。</w:t>
      </w:r>
    </w:p>
    <w:p w14:paraId="085BD718">
      <w:pPr>
        <w:adjustRightInd w:val="0"/>
        <w:snapToGrid w:val="0"/>
        <w:spacing w:line="360" w:lineRule="auto"/>
        <w:rPr>
          <w:rFonts w:ascii="宋体" w:hAnsi="宋体" w:cs="宋体"/>
          <w:color w:val="auto"/>
          <w:szCs w:val="21"/>
        </w:rPr>
      </w:pPr>
    </w:p>
    <w:p w14:paraId="1AB840CC">
      <w:pPr>
        <w:rPr>
          <w:rFonts w:ascii="宋体" w:hAnsi="宋体" w:cs="宋体"/>
          <w:color w:val="auto"/>
          <w:szCs w:val="21"/>
        </w:rPr>
      </w:pPr>
      <w:r>
        <w:rPr>
          <w:rFonts w:hint="eastAsia" w:ascii="宋体" w:hAnsi="宋体" w:cs="宋体"/>
          <w:color w:val="auto"/>
          <w:szCs w:val="21"/>
        </w:rPr>
        <w:br w:type="page"/>
      </w:r>
    </w:p>
    <w:p w14:paraId="65B08EDE">
      <w:pPr>
        <w:pStyle w:val="3"/>
        <w:jc w:val="center"/>
        <w:rPr>
          <w:rFonts w:cs="宋体"/>
          <w:color w:val="auto"/>
          <w:sz w:val="28"/>
          <w:szCs w:val="28"/>
        </w:rPr>
      </w:pPr>
      <w:bookmarkStart w:id="461" w:name="_Toc6336"/>
      <w:bookmarkStart w:id="462" w:name="_Toc11115"/>
      <w:bookmarkStart w:id="463" w:name="_Toc27841"/>
      <w:bookmarkStart w:id="464" w:name="_Toc32518"/>
      <w:bookmarkStart w:id="465" w:name="_Toc9918"/>
      <w:bookmarkStart w:id="466" w:name="_Toc32081"/>
      <w:bookmarkStart w:id="467" w:name="_Toc20695"/>
      <w:bookmarkStart w:id="468" w:name="_Toc16060"/>
      <w:bookmarkStart w:id="469" w:name="_Toc11973"/>
      <w:r>
        <w:rPr>
          <w:rFonts w:hint="eastAsia" w:cs="宋体"/>
          <w:color w:val="auto"/>
          <w:sz w:val="28"/>
          <w:szCs w:val="28"/>
        </w:rPr>
        <w:t>4、“★”（实质性）条款响应表</w:t>
      </w:r>
      <w:bookmarkEnd w:id="458"/>
      <w:bookmarkEnd w:id="459"/>
      <w:bookmarkEnd w:id="460"/>
      <w:bookmarkEnd w:id="461"/>
      <w:bookmarkEnd w:id="462"/>
      <w:bookmarkEnd w:id="463"/>
      <w:bookmarkEnd w:id="464"/>
      <w:r>
        <w:rPr>
          <w:rFonts w:hint="eastAsia" w:cs="宋体"/>
          <w:color w:val="auto"/>
          <w:sz w:val="28"/>
          <w:szCs w:val="28"/>
        </w:rPr>
        <w:t>（如有）</w:t>
      </w:r>
      <w:bookmarkEnd w:id="465"/>
      <w:bookmarkEnd w:id="466"/>
      <w:bookmarkEnd w:id="467"/>
      <w:bookmarkEnd w:id="468"/>
      <w:bookmarkEnd w:id="469"/>
    </w:p>
    <w:p w14:paraId="64C8F683">
      <w:pPr>
        <w:spacing w:line="360" w:lineRule="auto"/>
        <w:ind w:firstLine="105" w:firstLineChars="50"/>
        <w:rPr>
          <w:rFonts w:ascii="宋体" w:hAnsi="宋体" w:cs="宋体"/>
          <w:color w:val="auto"/>
          <w:kern w:val="28"/>
          <w:szCs w:val="21"/>
        </w:rPr>
      </w:pPr>
      <w:r>
        <w:rPr>
          <w:rFonts w:hint="eastAsia" w:ascii="宋体" w:hAnsi="宋体" w:cs="宋体"/>
          <w:color w:val="auto"/>
          <w:szCs w:val="21"/>
        </w:rPr>
        <w:t>项目名称</w:t>
      </w:r>
      <w:r>
        <w:rPr>
          <w:rFonts w:hint="eastAsia" w:ascii="宋体" w:hAnsi="宋体" w:cs="宋体"/>
          <w:color w:val="auto"/>
          <w:kern w:val="28"/>
          <w:szCs w:val="21"/>
        </w:rPr>
        <w:t xml:space="preserve">：                                            </w:t>
      </w:r>
    </w:p>
    <w:p w14:paraId="73FD9AEF">
      <w:pPr>
        <w:spacing w:line="360" w:lineRule="auto"/>
        <w:ind w:firstLine="105" w:firstLineChars="50"/>
        <w:rPr>
          <w:rFonts w:ascii="宋体" w:hAnsi="宋体" w:cs="宋体"/>
          <w:bCs/>
          <w:color w:val="auto"/>
          <w:szCs w:val="21"/>
        </w:rPr>
      </w:pPr>
      <w:r>
        <w:rPr>
          <w:rFonts w:hint="eastAsia" w:ascii="宋体" w:hAnsi="宋体" w:cs="宋体"/>
          <w:color w:val="auto"/>
          <w:szCs w:val="21"/>
        </w:rPr>
        <w:t>项目编号：</w:t>
      </w:r>
    </w:p>
    <w:tbl>
      <w:tblPr>
        <w:tblStyle w:val="46"/>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905"/>
        <w:gridCol w:w="1635"/>
        <w:gridCol w:w="1410"/>
        <w:gridCol w:w="1354"/>
      </w:tblGrid>
      <w:tr w14:paraId="4E6C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1" w:type="dxa"/>
            <w:vAlign w:val="center"/>
          </w:tcPr>
          <w:p w14:paraId="7EF47EB6">
            <w:pPr>
              <w:snapToGrid w:val="0"/>
              <w:ind w:left="902" w:hanging="902"/>
              <w:jc w:val="center"/>
              <w:rPr>
                <w:rFonts w:ascii="宋体" w:hAnsi="宋体" w:cs="宋体"/>
                <w:color w:val="auto"/>
                <w:szCs w:val="21"/>
              </w:rPr>
            </w:pPr>
            <w:r>
              <w:rPr>
                <w:rFonts w:hint="eastAsia" w:ascii="宋体" w:hAnsi="宋体" w:cs="宋体"/>
                <w:color w:val="auto"/>
                <w:szCs w:val="21"/>
              </w:rPr>
              <w:t>序号</w:t>
            </w:r>
          </w:p>
        </w:tc>
        <w:tc>
          <w:tcPr>
            <w:tcW w:w="3905" w:type="dxa"/>
            <w:tcBorders>
              <w:left w:val="single" w:color="000000" w:sz="4" w:space="0"/>
            </w:tcBorders>
            <w:vAlign w:val="center"/>
          </w:tcPr>
          <w:p w14:paraId="5717EA1D">
            <w:pPr>
              <w:snapToGrid w:val="0"/>
              <w:ind w:left="902" w:hanging="902"/>
              <w:jc w:val="center"/>
              <w:rPr>
                <w:rFonts w:ascii="宋体" w:hAnsi="宋体" w:cs="宋体"/>
                <w:color w:val="auto"/>
                <w:szCs w:val="21"/>
              </w:rPr>
            </w:pPr>
            <w:r>
              <w:rPr>
                <w:rFonts w:hint="eastAsia" w:ascii="宋体" w:hAnsi="宋体" w:cs="宋体"/>
                <w:color w:val="auto"/>
                <w:szCs w:val="21"/>
              </w:rPr>
              <w:t>用户需求书带“★”号条款内容</w:t>
            </w:r>
          </w:p>
        </w:tc>
        <w:tc>
          <w:tcPr>
            <w:tcW w:w="1635" w:type="dxa"/>
            <w:vAlign w:val="center"/>
          </w:tcPr>
          <w:p w14:paraId="0B4991EC">
            <w:pPr>
              <w:snapToGrid w:val="0"/>
              <w:ind w:left="902" w:hanging="902"/>
              <w:jc w:val="center"/>
              <w:rPr>
                <w:rFonts w:ascii="宋体" w:hAnsi="宋体" w:cs="宋体"/>
                <w:color w:val="auto"/>
                <w:szCs w:val="21"/>
              </w:rPr>
            </w:pPr>
            <w:r>
              <w:rPr>
                <w:rFonts w:hint="eastAsia" w:ascii="宋体" w:hAnsi="宋体" w:cs="宋体"/>
                <w:color w:val="auto"/>
                <w:szCs w:val="21"/>
              </w:rPr>
              <w:t>是否响应</w:t>
            </w:r>
          </w:p>
        </w:tc>
        <w:tc>
          <w:tcPr>
            <w:tcW w:w="1410" w:type="dxa"/>
            <w:vAlign w:val="center"/>
          </w:tcPr>
          <w:p w14:paraId="5CA9FE77">
            <w:pPr>
              <w:snapToGrid w:val="0"/>
              <w:ind w:left="902" w:hanging="902"/>
              <w:jc w:val="center"/>
              <w:rPr>
                <w:rFonts w:ascii="宋体" w:hAnsi="宋体" w:cs="宋体"/>
                <w:color w:val="auto"/>
                <w:szCs w:val="21"/>
              </w:rPr>
            </w:pPr>
            <w:r>
              <w:rPr>
                <w:rFonts w:hint="eastAsia" w:ascii="宋体" w:hAnsi="宋体" w:cs="宋体"/>
                <w:color w:val="auto"/>
                <w:szCs w:val="21"/>
              </w:rPr>
              <w:t>偏离说明</w:t>
            </w:r>
          </w:p>
        </w:tc>
        <w:tc>
          <w:tcPr>
            <w:tcW w:w="1354" w:type="dxa"/>
            <w:vAlign w:val="center"/>
          </w:tcPr>
          <w:p w14:paraId="17FF66DA">
            <w:pPr>
              <w:snapToGrid w:val="0"/>
              <w:ind w:left="902" w:hanging="902"/>
              <w:jc w:val="center"/>
              <w:rPr>
                <w:rFonts w:ascii="宋体" w:hAnsi="宋体" w:cs="宋体"/>
                <w:color w:val="auto"/>
                <w:szCs w:val="21"/>
              </w:rPr>
            </w:pPr>
            <w:r>
              <w:rPr>
                <w:rFonts w:hint="eastAsia" w:ascii="宋体" w:hAnsi="宋体" w:cs="宋体"/>
                <w:color w:val="auto"/>
                <w:szCs w:val="21"/>
              </w:rPr>
              <w:t>响应页码</w:t>
            </w:r>
          </w:p>
        </w:tc>
      </w:tr>
      <w:tr w14:paraId="7CF8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1" w:type="dxa"/>
            <w:vAlign w:val="center"/>
          </w:tcPr>
          <w:p w14:paraId="3A619471">
            <w:pPr>
              <w:snapToGrid w:val="0"/>
              <w:ind w:left="902" w:hanging="902"/>
              <w:jc w:val="center"/>
              <w:rPr>
                <w:rFonts w:ascii="宋体" w:hAnsi="宋体" w:cs="宋体"/>
                <w:color w:val="auto"/>
                <w:szCs w:val="21"/>
              </w:rPr>
            </w:pPr>
            <w:r>
              <w:rPr>
                <w:rFonts w:hint="eastAsia" w:ascii="宋体" w:hAnsi="宋体" w:cs="宋体"/>
                <w:color w:val="auto"/>
                <w:szCs w:val="21"/>
              </w:rPr>
              <w:t>1</w:t>
            </w:r>
          </w:p>
        </w:tc>
        <w:tc>
          <w:tcPr>
            <w:tcW w:w="3905" w:type="dxa"/>
            <w:tcBorders>
              <w:left w:val="single" w:color="000000" w:sz="4" w:space="0"/>
            </w:tcBorders>
            <w:vAlign w:val="center"/>
          </w:tcPr>
          <w:p w14:paraId="5B29F430">
            <w:pPr>
              <w:snapToGrid w:val="0"/>
              <w:rPr>
                <w:rFonts w:ascii="宋体" w:hAnsi="宋体" w:cs="宋体"/>
                <w:color w:val="auto"/>
                <w:szCs w:val="21"/>
              </w:rPr>
            </w:pPr>
          </w:p>
        </w:tc>
        <w:tc>
          <w:tcPr>
            <w:tcW w:w="1635" w:type="dxa"/>
          </w:tcPr>
          <w:p w14:paraId="22DDD48F">
            <w:pPr>
              <w:snapToGrid w:val="0"/>
              <w:ind w:left="902" w:hanging="902"/>
              <w:rPr>
                <w:rFonts w:ascii="宋体" w:hAnsi="宋体" w:cs="宋体"/>
                <w:color w:val="auto"/>
                <w:szCs w:val="21"/>
              </w:rPr>
            </w:pPr>
          </w:p>
        </w:tc>
        <w:tc>
          <w:tcPr>
            <w:tcW w:w="1410" w:type="dxa"/>
          </w:tcPr>
          <w:p w14:paraId="6CE483E1">
            <w:pPr>
              <w:snapToGrid w:val="0"/>
              <w:ind w:left="902" w:hanging="902"/>
              <w:rPr>
                <w:rFonts w:ascii="宋体" w:hAnsi="宋体" w:cs="宋体"/>
                <w:color w:val="auto"/>
                <w:szCs w:val="21"/>
              </w:rPr>
            </w:pPr>
          </w:p>
        </w:tc>
        <w:tc>
          <w:tcPr>
            <w:tcW w:w="1354" w:type="dxa"/>
          </w:tcPr>
          <w:p w14:paraId="1E95ABFC">
            <w:pPr>
              <w:snapToGrid w:val="0"/>
              <w:rPr>
                <w:rFonts w:ascii="宋体" w:hAnsi="宋体" w:cs="宋体"/>
                <w:color w:val="auto"/>
                <w:szCs w:val="21"/>
              </w:rPr>
            </w:pPr>
          </w:p>
        </w:tc>
      </w:tr>
      <w:tr w14:paraId="3531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1" w:type="dxa"/>
            <w:vAlign w:val="center"/>
          </w:tcPr>
          <w:p w14:paraId="0F0CA317">
            <w:pPr>
              <w:snapToGrid w:val="0"/>
              <w:ind w:left="902" w:hanging="902"/>
              <w:jc w:val="center"/>
              <w:rPr>
                <w:rFonts w:ascii="宋体" w:hAnsi="宋体" w:cs="宋体"/>
                <w:color w:val="auto"/>
                <w:szCs w:val="21"/>
              </w:rPr>
            </w:pPr>
            <w:r>
              <w:rPr>
                <w:rFonts w:hint="eastAsia" w:ascii="宋体" w:hAnsi="宋体" w:cs="宋体"/>
                <w:color w:val="auto"/>
                <w:szCs w:val="21"/>
              </w:rPr>
              <w:t>2</w:t>
            </w:r>
          </w:p>
        </w:tc>
        <w:tc>
          <w:tcPr>
            <w:tcW w:w="3905" w:type="dxa"/>
            <w:tcBorders>
              <w:left w:val="single" w:color="000000" w:sz="4" w:space="0"/>
            </w:tcBorders>
            <w:vAlign w:val="center"/>
          </w:tcPr>
          <w:p w14:paraId="04A50B8F">
            <w:pPr>
              <w:snapToGrid w:val="0"/>
              <w:rPr>
                <w:rFonts w:ascii="宋体" w:hAnsi="宋体" w:cs="宋体"/>
                <w:color w:val="auto"/>
                <w:szCs w:val="21"/>
              </w:rPr>
            </w:pPr>
          </w:p>
        </w:tc>
        <w:tc>
          <w:tcPr>
            <w:tcW w:w="1635" w:type="dxa"/>
          </w:tcPr>
          <w:p w14:paraId="0B240166">
            <w:pPr>
              <w:snapToGrid w:val="0"/>
              <w:ind w:left="902" w:hanging="902"/>
              <w:rPr>
                <w:rFonts w:ascii="宋体" w:hAnsi="宋体" w:cs="宋体"/>
                <w:color w:val="auto"/>
                <w:szCs w:val="21"/>
              </w:rPr>
            </w:pPr>
          </w:p>
        </w:tc>
        <w:tc>
          <w:tcPr>
            <w:tcW w:w="1410" w:type="dxa"/>
          </w:tcPr>
          <w:p w14:paraId="081954DA">
            <w:pPr>
              <w:snapToGrid w:val="0"/>
              <w:ind w:left="902" w:hanging="902"/>
              <w:rPr>
                <w:rFonts w:ascii="宋体" w:hAnsi="宋体" w:cs="宋体"/>
                <w:color w:val="auto"/>
                <w:szCs w:val="21"/>
              </w:rPr>
            </w:pPr>
          </w:p>
        </w:tc>
        <w:tc>
          <w:tcPr>
            <w:tcW w:w="1354" w:type="dxa"/>
          </w:tcPr>
          <w:p w14:paraId="2EB00382">
            <w:pPr>
              <w:snapToGrid w:val="0"/>
              <w:ind w:left="902" w:hanging="902"/>
              <w:rPr>
                <w:rFonts w:ascii="宋体" w:hAnsi="宋体" w:cs="宋体"/>
                <w:color w:val="auto"/>
                <w:szCs w:val="21"/>
              </w:rPr>
            </w:pPr>
          </w:p>
        </w:tc>
      </w:tr>
      <w:tr w14:paraId="6238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1" w:type="dxa"/>
            <w:vAlign w:val="center"/>
          </w:tcPr>
          <w:p w14:paraId="0791ED40">
            <w:pPr>
              <w:snapToGrid w:val="0"/>
              <w:ind w:left="902" w:hanging="902"/>
              <w:jc w:val="center"/>
              <w:rPr>
                <w:rFonts w:ascii="宋体" w:hAnsi="宋体" w:cs="宋体"/>
                <w:color w:val="auto"/>
                <w:szCs w:val="21"/>
              </w:rPr>
            </w:pPr>
            <w:r>
              <w:rPr>
                <w:rFonts w:hint="eastAsia" w:ascii="宋体" w:hAnsi="宋体" w:cs="宋体"/>
                <w:color w:val="auto"/>
                <w:szCs w:val="21"/>
              </w:rPr>
              <w:t>3</w:t>
            </w:r>
          </w:p>
        </w:tc>
        <w:tc>
          <w:tcPr>
            <w:tcW w:w="3905" w:type="dxa"/>
            <w:tcBorders>
              <w:left w:val="single" w:color="000000" w:sz="4" w:space="0"/>
            </w:tcBorders>
          </w:tcPr>
          <w:p w14:paraId="43E43416">
            <w:pPr>
              <w:snapToGrid w:val="0"/>
              <w:rPr>
                <w:rFonts w:ascii="宋体" w:hAnsi="宋体" w:cs="宋体"/>
                <w:color w:val="auto"/>
                <w:szCs w:val="21"/>
              </w:rPr>
            </w:pPr>
          </w:p>
        </w:tc>
        <w:tc>
          <w:tcPr>
            <w:tcW w:w="1635" w:type="dxa"/>
          </w:tcPr>
          <w:p w14:paraId="4ABB4EF3">
            <w:pPr>
              <w:snapToGrid w:val="0"/>
              <w:ind w:left="902" w:hanging="902"/>
              <w:rPr>
                <w:rFonts w:ascii="宋体" w:hAnsi="宋体" w:cs="宋体"/>
                <w:color w:val="auto"/>
                <w:szCs w:val="21"/>
              </w:rPr>
            </w:pPr>
          </w:p>
        </w:tc>
        <w:tc>
          <w:tcPr>
            <w:tcW w:w="1410" w:type="dxa"/>
          </w:tcPr>
          <w:p w14:paraId="622AB624">
            <w:pPr>
              <w:snapToGrid w:val="0"/>
              <w:ind w:left="902" w:hanging="902"/>
              <w:rPr>
                <w:rFonts w:ascii="宋体" w:hAnsi="宋体" w:cs="宋体"/>
                <w:color w:val="auto"/>
                <w:szCs w:val="21"/>
              </w:rPr>
            </w:pPr>
          </w:p>
        </w:tc>
        <w:tc>
          <w:tcPr>
            <w:tcW w:w="1354" w:type="dxa"/>
          </w:tcPr>
          <w:p w14:paraId="75CFC1BC">
            <w:pPr>
              <w:snapToGrid w:val="0"/>
              <w:ind w:left="902" w:hanging="902"/>
              <w:rPr>
                <w:rFonts w:ascii="宋体" w:hAnsi="宋体" w:cs="宋体"/>
                <w:color w:val="auto"/>
                <w:szCs w:val="21"/>
              </w:rPr>
            </w:pPr>
          </w:p>
        </w:tc>
      </w:tr>
      <w:tr w14:paraId="2C2D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1" w:type="dxa"/>
            <w:vAlign w:val="center"/>
          </w:tcPr>
          <w:p w14:paraId="7E269F4E">
            <w:pPr>
              <w:snapToGrid w:val="0"/>
              <w:ind w:firstLine="105" w:firstLineChars="50"/>
              <w:rPr>
                <w:rFonts w:ascii="宋体" w:hAnsi="宋体" w:cs="宋体"/>
                <w:color w:val="auto"/>
                <w:szCs w:val="21"/>
              </w:rPr>
            </w:pPr>
            <w:r>
              <w:rPr>
                <w:rFonts w:hint="eastAsia" w:ascii="宋体" w:hAnsi="宋体" w:cs="宋体"/>
                <w:color w:val="auto"/>
                <w:szCs w:val="21"/>
              </w:rPr>
              <w:t>…</w:t>
            </w:r>
          </w:p>
        </w:tc>
        <w:tc>
          <w:tcPr>
            <w:tcW w:w="3905" w:type="dxa"/>
            <w:tcBorders>
              <w:left w:val="single" w:color="000000" w:sz="4" w:space="0"/>
            </w:tcBorders>
          </w:tcPr>
          <w:p w14:paraId="67CDAABD">
            <w:pPr>
              <w:snapToGrid w:val="0"/>
              <w:rPr>
                <w:rFonts w:ascii="宋体" w:hAnsi="宋体" w:cs="宋体"/>
                <w:color w:val="auto"/>
                <w:szCs w:val="21"/>
              </w:rPr>
            </w:pPr>
          </w:p>
        </w:tc>
        <w:tc>
          <w:tcPr>
            <w:tcW w:w="1635" w:type="dxa"/>
          </w:tcPr>
          <w:p w14:paraId="29642E07">
            <w:pPr>
              <w:snapToGrid w:val="0"/>
              <w:ind w:left="902" w:hanging="902"/>
              <w:rPr>
                <w:rFonts w:ascii="宋体" w:hAnsi="宋体" w:cs="宋体"/>
                <w:color w:val="auto"/>
                <w:szCs w:val="21"/>
              </w:rPr>
            </w:pPr>
          </w:p>
        </w:tc>
        <w:tc>
          <w:tcPr>
            <w:tcW w:w="1410" w:type="dxa"/>
          </w:tcPr>
          <w:p w14:paraId="4AE8CD79">
            <w:pPr>
              <w:snapToGrid w:val="0"/>
              <w:ind w:left="902" w:hanging="902"/>
              <w:rPr>
                <w:rFonts w:ascii="宋体" w:hAnsi="宋体" w:cs="宋体"/>
                <w:color w:val="auto"/>
                <w:szCs w:val="21"/>
              </w:rPr>
            </w:pPr>
          </w:p>
        </w:tc>
        <w:tc>
          <w:tcPr>
            <w:tcW w:w="1354" w:type="dxa"/>
          </w:tcPr>
          <w:p w14:paraId="20D16E23">
            <w:pPr>
              <w:snapToGrid w:val="0"/>
              <w:ind w:left="902" w:hanging="902"/>
              <w:rPr>
                <w:rFonts w:ascii="宋体" w:hAnsi="宋体" w:cs="宋体"/>
                <w:color w:val="auto"/>
                <w:szCs w:val="21"/>
              </w:rPr>
            </w:pPr>
          </w:p>
        </w:tc>
      </w:tr>
    </w:tbl>
    <w:p w14:paraId="6E9E65FC">
      <w:pPr>
        <w:rPr>
          <w:rFonts w:ascii="宋体" w:hAnsi="宋体" w:cs="宋体"/>
          <w:bCs/>
          <w:color w:val="auto"/>
          <w:szCs w:val="21"/>
        </w:rPr>
      </w:pPr>
    </w:p>
    <w:p w14:paraId="229149F5">
      <w:pPr>
        <w:rPr>
          <w:rFonts w:ascii="宋体" w:hAnsi="宋体" w:cs="宋体"/>
          <w:bCs/>
          <w:color w:val="auto"/>
          <w:szCs w:val="21"/>
        </w:rPr>
      </w:pPr>
      <w:r>
        <w:rPr>
          <w:rFonts w:hint="eastAsia" w:ascii="宋体" w:hAnsi="宋体" w:cs="宋体"/>
          <w:bCs/>
          <w:color w:val="auto"/>
          <w:szCs w:val="21"/>
        </w:rPr>
        <w:t>说明：1、供应商必须对应</w:t>
      </w:r>
      <w:r>
        <w:rPr>
          <w:rFonts w:hint="eastAsia" w:ascii="宋体" w:hAnsi="宋体" w:cs="宋体"/>
          <w:bCs/>
          <w:color w:val="auto"/>
          <w:szCs w:val="21"/>
          <w:lang w:eastAsia="zh-CN"/>
        </w:rPr>
        <w:t>采购文件</w:t>
      </w:r>
      <w:r>
        <w:rPr>
          <w:rFonts w:hint="eastAsia" w:ascii="宋体" w:hAnsi="宋体" w:cs="宋体"/>
          <w:bCs/>
          <w:color w:val="auto"/>
          <w:szCs w:val="21"/>
        </w:rPr>
        <w:t>的 “★”号条款逐条应答并按要求填写下表。</w:t>
      </w:r>
    </w:p>
    <w:p w14:paraId="1E88D9AE">
      <w:pPr>
        <w:ind w:left="510" w:leftChars="243" w:firstLine="102" w:firstLineChars="49"/>
        <w:rPr>
          <w:rFonts w:ascii="宋体" w:hAnsi="宋体" w:cs="宋体"/>
          <w:bCs/>
          <w:color w:val="auto"/>
          <w:szCs w:val="21"/>
        </w:rPr>
      </w:pPr>
      <w:r>
        <w:rPr>
          <w:rFonts w:hint="eastAsia" w:ascii="宋体" w:hAnsi="宋体" w:cs="宋体"/>
          <w:bCs/>
          <w:color w:val="auto"/>
          <w:szCs w:val="21"/>
        </w:rPr>
        <w:t>2、对完全响应的条目在下表相应列中标注“○”。对有偏离的条目在下表相应列中标注“×”，并简述偏离内容。</w:t>
      </w:r>
    </w:p>
    <w:p w14:paraId="48F3F642">
      <w:pPr>
        <w:ind w:firstLine="422" w:firstLineChars="200"/>
        <w:rPr>
          <w:rFonts w:ascii="宋体" w:hAnsi="宋体" w:cs="宋体"/>
          <w:b/>
          <w:bCs/>
          <w:color w:val="auto"/>
          <w:szCs w:val="21"/>
        </w:rPr>
      </w:pPr>
    </w:p>
    <w:p w14:paraId="0F60B54A">
      <w:pPr>
        <w:adjustRightInd w:val="0"/>
        <w:snapToGrid w:val="0"/>
        <w:spacing w:line="360" w:lineRule="auto"/>
        <w:rPr>
          <w:rFonts w:ascii="宋体" w:hAnsi="宋体" w:cs="宋体"/>
          <w:color w:val="auto"/>
          <w:szCs w:val="21"/>
        </w:rPr>
      </w:pPr>
    </w:p>
    <w:p w14:paraId="6335B709">
      <w:pPr>
        <w:adjustRightInd w:val="0"/>
        <w:snapToGrid w:val="0"/>
        <w:spacing w:line="360" w:lineRule="auto"/>
        <w:rPr>
          <w:rFonts w:ascii="宋体" w:hAnsi="宋体" w:cs="宋体"/>
          <w:color w:val="auto"/>
          <w:szCs w:val="21"/>
        </w:rPr>
      </w:pPr>
    </w:p>
    <w:p w14:paraId="126C91ED">
      <w:pPr>
        <w:pStyle w:val="13"/>
        <w:rPr>
          <w:rFonts w:ascii="宋体" w:hAnsi="宋体" w:cs="宋体"/>
          <w:color w:val="auto"/>
          <w:szCs w:val="21"/>
        </w:rPr>
      </w:pPr>
    </w:p>
    <w:p w14:paraId="13154FCA">
      <w:pPr>
        <w:pStyle w:val="13"/>
        <w:rPr>
          <w:rFonts w:ascii="宋体" w:hAnsi="宋体" w:cs="宋体"/>
          <w:color w:val="auto"/>
          <w:szCs w:val="21"/>
        </w:rPr>
      </w:pPr>
    </w:p>
    <w:p w14:paraId="696E230E">
      <w:pPr>
        <w:adjustRightInd w:val="0"/>
        <w:snapToGrid w:val="0"/>
        <w:spacing w:line="360" w:lineRule="auto"/>
        <w:rPr>
          <w:rFonts w:ascii="宋体" w:hAnsi="宋体" w:cs="宋体"/>
          <w:color w:val="auto"/>
          <w:szCs w:val="21"/>
          <w:u w:val="single"/>
        </w:rPr>
      </w:pPr>
      <w:r>
        <w:rPr>
          <w:rFonts w:hint="eastAsia" w:ascii="宋体" w:hAnsi="宋体" w:cs="宋体"/>
          <w:color w:val="auto"/>
          <w:szCs w:val="21"/>
        </w:rPr>
        <w:t>供应商名称（盖章）：</w:t>
      </w:r>
    </w:p>
    <w:p w14:paraId="50C3C26E">
      <w:pPr>
        <w:rPr>
          <w:rFonts w:ascii="宋体" w:hAnsi="宋体" w:cs="宋体"/>
          <w:b/>
          <w:bCs/>
          <w:color w:val="auto"/>
          <w:szCs w:val="21"/>
        </w:rPr>
      </w:pPr>
      <w:r>
        <w:rPr>
          <w:rFonts w:hint="eastAsia" w:ascii="宋体" w:hAnsi="宋体" w:cs="宋体"/>
          <w:color w:val="auto"/>
          <w:szCs w:val="21"/>
        </w:rPr>
        <w:t>日期：   年   月   日</w:t>
      </w:r>
    </w:p>
    <w:p w14:paraId="07C0DC3E">
      <w:pPr>
        <w:ind w:firstLine="422" w:firstLineChars="200"/>
        <w:rPr>
          <w:rFonts w:ascii="宋体" w:hAnsi="宋体" w:cs="宋体"/>
          <w:b/>
          <w:bCs/>
          <w:color w:val="auto"/>
          <w:szCs w:val="21"/>
        </w:rPr>
      </w:pPr>
    </w:p>
    <w:p w14:paraId="0A6341C5">
      <w:pPr>
        <w:ind w:firstLine="422" w:firstLineChars="200"/>
        <w:rPr>
          <w:rFonts w:ascii="宋体" w:hAnsi="宋体" w:cs="宋体"/>
          <w:b/>
          <w:bCs/>
          <w:color w:val="auto"/>
          <w:szCs w:val="21"/>
        </w:rPr>
      </w:pPr>
    </w:p>
    <w:p w14:paraId="440926B5">
      <w:pPr>
        <w:ind w:firstLine="422" w:firstLineChars="200"/>
        <w:rPr>
          <w:rFonts w:ascii="宋体" w:hAnsi="宋体" w:cs="宋体"/>
          <w:b/>
          <w:bCs/>
          <w:color w:val="auto"/>
          <w:szCs w:val="21"/>
        </w:rPr>
      </w:pPr>
    </w:p>
    <w:p w14:paraId="2BD33A4B">
      <w:pPr>
        <w:rPr>
          <w:rFonts w:ascii="宋体" w:hAnsi="宋体" w:cs="宋体"/>
          <w:b/>
          <w:color w:val="auto"/>
          <w:sz w:val="28"/>
          <w:szCs w:val="28"/>
        </w:rPr>
      </w:pPr>
      <w:r>
        <w:rPr>
          <w:rFonts w:hint="eastAsia" w:ascii="宋体" w:hAnsi="宋体" w:cs="宋体"/>
          <w:b/>
          <w:color w:val="auto"/>
          <w:sz w:val="28"/>
          <w:szCs w:val="28"/>
        </w:rPr>
        <w:br w:type="page"/>
      </w:r>
    </w:p>
    <w:p w14:paraId="3AD53FC2">
      <w:pPr>
        <w:pStyle w:val="3"/>
        <w:spacing w:before="0" w:after="120"/>
        <w:rPr>
          <w:rFonts w:cs="宋体"/>
          <w:b w:val="0"/>
          <w:bCs/>
          <w:color w:val="auto"/>
          <w:sz w:val="21"/>
          <w:szCs w:val="21"/>
        </w:rPr>
      </w:pPr>
      <w:bookmarkStart w:id="470" w:name="_Toc4919"/>
      <w:bookmarkStart w:id="471" w:name="_Toc31854"/>
      <w:bookmarkStart w:id="472" w:name="_Toc8763"/>
      <w:bookmarkStart w:id="473" w:name="_Toc2731"/>
      <w:bookmarkStart w:id="474" w:name="_Toc9661"/>
      <w:bookmarkStart w:id="475" w:name="_Toc22417"/>
      <w:bookmarkStart w:id="476" w:name="_Toc6178"/>
      <w:bookmarkStart w:id="477" w:name="_Toc31894"/>
      <w:bookmarkStart w:id="478" w:name="_Toc3531"/>
      <w:r>
        <w:rPr>
          <w:rFonts w:hint="eastAsia" w:cs="宋体"/>
          <w:color w:val="auto"/>
        </w:rPr>
        <w:t>五、商务文件格式</w:t>
      </w:r>
      <w:r>
        <w:rPr>
          <w:rFonts w:hint="eastAsia" w:cs="宋体"/>
          <w:b w:val="0"/>
          <w:bCs/>
          <w:color w:val="auto"/>
          <w:sz w:val="21"/>
          <w:szCs w:val="21"/>
        </w:rPr>
        <w:t>（除提供以下格式材料外，根据商务评审项目提供相关材料）</w:t>
      </w:r>
      <w:bookmarkEnd w:id="470"/>
      <w:bookmarkEnd w:id="471"/>
      <w:bookmarkEnd w:id="472"/>
      <w:bookmarkEnd w:id="473"/>
      <w:bookmarkEnd w:id="474"/>
      <w:bookmarkEnd w:id="475"/>
      <w:bookmarkEnd w:id="476"/>
      <w:bookmarkEnd w:id="477"/>
      <w:bookmarkEnd w:id="478"/>
    </w:p>
    <w:p w14:paraId="0EACE3CE">
      <w:pPr>
        <w:spacing w:line="480" w:lineRule="exact"/>
        <w:jc w:val="center"/>
        <w:rPr>
          <w:rFonts w:hint="eastAsia" w:ascii="宋体" w:hAnsi="宋体" w:eastAsia="宋体" w:cs="宋体"/>
          <w:color w:val="auto"/>
          <w:szCs w:val="21"/>
        </w:rPr>
      </w:pPr>
      <w:r>
        <w:rPr>
          <w:rFonts w:hint="eastAsia" w:ascii="宋体" w:hAnsi="宋体" w:eastAsia="宋体" w:cs="宋体"/>
          <w:b/>
          <w:color w:val="auto"/>
          <w:sz w:val="28"/>
          <w:szCs w:val="28"/>
        </w:rPr>
        <w:t>1、</w:t>
      </w:r>
      <w:r>
        <w:rPr>
          <w:rFonts w:hint="eastAsia" w:ascii="宋体" w:hAnsi="宋体" w:eastAsia="宋体" w:cs="宋体"/>
          <w:b/>
          <w:color w:val="auto"/>
          <w:sz w:val="28"/>
          <w:szCs w:val="28"/>
          <w:lang w:eastAsia="zh-CN"/>
        </w:rPr>
        <w:t>供应商</w:t>
      </w:r>
      <w:r>
        <w:rPr>
          <w:rFonts w:hint="eastAsia" w:ascii="宋体" w:hAnsi="宋体" w:eastAsia="宋体" w:cs="宋体"/>
          <w:b/>
          <w:color w:val="auto"/>
          <w:sz w:val="28"/>
          <w:szCs w:val="28"/>
        </w:rPr>
        <w:t>业绩情况表</w:t>
      </w:r>
    </w:p>
    <w:p w14:paraId="5CEC85B0">
      <w:pPr>
        <w:spacing w:line="480" w:lineRule="exact"/>
        <w:rPr>
          <w:rFonts w:hint="eastAsia" w:ascii="宋体" w:hAnsi="宋体" w:eastAsia="宋体" w:cs="宋体"/>
          <w:color w:val="auto"/>
          <w:szCs w:val="21"/>
        </w:rPr>
      </w:pPr>
    </w:p>
    <w:tbl>
      <w:tblPr>
        <w:tblStyle w:val="46"/>
        <w:tblW w:w="984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92"/>
        <w:gridCol w:w="2187"/>
        <w:gridCol w:w="1641"/>
        <w:gridCol w:w="1641"/>
        <w:gridCol w:w="1641"/>
        <w:gridCol w:w="1642"/>
      </w:tblGrid>
      <w:tr w14:paraId="013B4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jc w:val="center"/>
        </w:trPr>
        <w:tc>
          <w:tcPr>
            <w:tcW w:w="1092" w:type="dxa"/>
            <w:vAlign w:val="center"/>
          </w:tcPr>
          <w:p w14:paraId="62C28D0F">
            <w:pPr>
              <w:spacing w:line="240" w:lineRule="auto"/>
              <w:jc w:val="center"/>
              <w:rPr>
                <w:rFonts w:hint="eastAsia" w:ascii="Calibri" w:hAnsi="Calibri" w:eastAsia="宋体" w:cs="Times New Roman"/>
                <w:color w:val="auto"/>
                <w:lang w:val="en-US" w:eastAsia="zh-Hans"/>
              </w:rPr>
            </w:pPr>
            <w:r>
              <w:rPr>
                <w:rFonts w:hint="eastAsia" w:ascii="Calibri" w:hAnsi="Calibri" w:eastAsia="宋体" w:cs="Times New Roman"/>
                <w:color w:val="auto"/>
                <w:lang w:val="en-US" w:eastAsia="zh-Hans"/>
              </w:rPr>
              <w:t>序号</w:t>
            </w:r>
          </w:p>
        </w:tc>
        <w:tc>
          <w:tcPr>
            <w:tcW w:w="2187" w:type="dxa"/>
            <w:vAlign w:val="center"/>
          </w:tcPr>
          <w:p w14:paraId="583D9D8C">
            <w:pPr>
              <w:spacing w:line="240" w:lineRule="auto"/>
              <w:jc w:val="center"/>
              <w:rPr>
                <w:rFonts w:hint="eastAsia" w:ascii="Calibri" w:hAnsi="Calibri" w:eastAsia="宋体" w:cs="Times New Roman"/>
                <w:color w:val="auto"/>
                <w:lang w:val="en-US" w:eastAsia="zh-Hans"/>
              </w:rPr>
            </w:pPr>
            <w:r>
              <w:rPr>
                <w:rFonts w:hint="eastAsia" w:ascii="Calibri" w:hAnsi="Calibri" w:eastAsia="宋体" w:cs="Times New Roman"/>
                <w:color w:val="auto"/>
                <w:lang w:val="en-US" w:eastAsia="zh-Hans"/>
              </w:rPr>
              <w:t>客户名称</w:t>
            </w:r>
          </w:p>
        </w:tc>
        <w:tc>
          <w:tcPr>
            <w:tcW w:w="1641" w:type="dxa"/>
            <w:vAlign w:val="center"/>
          </w:tcPr>
          <w:p w14:paraId="06571441">
            <w:pPr>
              <w:spacing w:line="240" w:lineRule="auto"/>
              <w:jc w:val="center"/>
              <w:rPr>
                <w:rFonts w:hint="eastAsia" w:ascii="Calibri" w:hAnsi="Calibri" w:eastAsia="宋体" w:cs="Times New Roman"/>
                <w:color w:val="auto"/>
                <w:lang w:val="en-US" w:eastAsia="zh-Hans"/>
              </w:rPr>
            </w:pPr>
            <w:r>
              <w:rPr>
                <w:rFonts w:hint="eastAsia" w:ascii="Calibri" w:hAnsi="Calibri" w:eastAsia="宋体" w:cs="Times New Roman"/>
                <w:color w:val="auto"/>
                <w:lang w:val="en-US" w:eastAsia="zh-Hans"/>
              </w:rPr>
              <w:t>项目名称及合同金额（万元）</w:t>
            </w:r>
          </w:p>
        </w:tc>
        <w:tc>
          <w:tcPr>
            <w:tcW w:w="1641" w:type="dxa"/>
            <w:vAlign w:val="center"/>
          </w:tcPr>
          <w:p w14:paraId="631FE66B">
            <w:pPr>
              <w:spacing w:line="240" w:lineRule="auto"/>
              <w:jc w:val="center"/>
              <w:rPr>
                <w:rFonts w:hint="eastAsia" w:ascii="Calibri" w:hAnsi="Calibri" w:eastAsia="宋体" w:cs="Times New Roman"/>
                <w:color w:val="auto"/>
                <w:lang w:val="en-US" w:eastAsia="zh-Hans"/>
              </w:rPr>
            </w:pPr>
            <w:r>
              <w:rPr>
                <w:rFonts w:hint="eastAsia" w:ascii="Calibri" w:hAnsi="Calibri" w:eastAsia="宋体" w:cs="Times New Roman"/>
                <w:color w:val="auto"/>
                <w:lang w:val="en-US" w:eastAsia="zh-Hans"/>
              </w:rPr>
              <w:t>签订合同时间</w:t>
            </w:r>
          </w:p>
        </w:tc>
        <w:tc>
          <w:tcPr>
            <w:tcW w:w="1641" w:type="dxa"/>
            <w:vAlign w:val="center"/>
          </w:tcPr>
          <w:p w14:paraId="78221663">
            <w:pPr>
              <w:spacing w:line="240" w:lineRule="auto"/>
              <w:jc w:val="center"/>
              <w:rPr>
                <w:rFonts w:hint="eastAsia" w:ascii="Calibri" w:hAnsi="Calibri" w:eastAsia="宋体" w:cs="Times New Roman"/>
                <w:color w:val="auto"/>
                <w:lang w:val="en-US" w:eastAsia="zh-Hans"/>
              </w:rPr>
            </w:pPr>
            <w:r>
              <w:rPr>
                <w:rFonts w:hint="eastAsia" w:ascii="Calibri" w:hAnsi="Calibri" w:eastAsia="宋体" w:cs="Times New Roman"/>
                <w:color w:val="auto"/>
                <w:lang w:val="en-US" w:eastAsia="zh-Hans"/>
              </w:rPr>
              <w:t>竣工验收报告时间</w:t>
            </w:r>
          </w:p>
        </w:tc>
        <w:tc>
          <w:tcPr>
            <w:tcW w:w="1642" w:type="dxa"/>
            <w:vAlign w:val="center"/>
          </w:tcPr>
          <w:p w14:paraId="450DA5B6">
            <w:pPr>
              <w:spacing w:line="240" w:lineRule="auto"/>
              <w:jc w:val="center"/>
              <w:rPr>
                <w:rFonts w:hint="eastAsia" w:ascii="Calibri" w:hAnsi="Calibri" w:eastAsia="宋体" w:cs="Times New Roman"/>
                <w:color w:val="auto"/>
                <w:lang w:val="en-US" w:eastAsia="zh-Hans"/>
              </w:rPr>
            </w:pPr>
            <w:r>
              <w:rPr>
                <w:rFonts w:hint="eastAsia" w:ascii="Calibri" w:hAnsi="Calibri" w:eastAsia="宋体" w:cs="Times New Roman"/>
                <w:color w:val="auto"/>
                <w:lang w:val="en-US" w:eastAsia="zh-Hans"/>
              </w:rPr>
              <w:t>联系人及电话</w:t>
            </w:r>
          </w:p>
        </w:tc>
      </w:tr>
      <w:tr w14:paraId="61FDE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jc w:val="center"/>
        </w:trPr>
        <w:tc>
          <w:tcPr>
            <w:tcW w:w="1092" w:type="dxa"/>
            <w:vAlign w:val="center"/>
          </w:tcPr>
          <w:p w14:paraId="4BB66911">
            <w:pPr>
              <w:spacing w:line="240" w:lineRule="auto"/>
              <w:jc w:val="center"/>
              <w:rPr>
                <w:rFonts w:hint="eastAsia" w:ascii="Calibri" w:hAnsi="Calibri" w:eastAsia="宋体" w:cs="Times New Roman"/>
                <w:color w:val="auto"/>
                <w:lang w:val="en-US" w:eastAsia="zh-Hans"/>
              </w:rPr>
            </w:pPr>
            <w:r>
              <w:rPr>
                <w:rFonts w:hint="eastAsia" w:ascii="Calibri" w:hAnsi="Calibri" w:eastAsia="宋体" w:cs="Times New Roman"/>
                <w:color w:val="auto"/>
                <w:lang w:val="en-US" w:eastAsia="zh-Hans"/>
              </w:rPr>
              <w:t>1</w:t>
            </w:r>
          </w:p>
        </w:tc>
        <w:tc>
          <w:tcPr>
            <w:tcW w:w="2187" w:type="dxa"/>
            <w:vAlign w:val="center"/>
          </w:tcPr>
          <w:p w14:paraId="1D9FB441">
            <w:pPr>
              <w:spacing w:line="240" w:lineRule="auto"/>
              <w:jc w:val="center"/>
              <w:rPr>
                <w:rFonts w:ascii="Calibri" w:hAnsi="Calibri" w:eastAsia="宋体" w:cs="Times New Roman"/>
                <w:color w:val="auto"/>
                <w:szCs w:val="24"/>
              </w:rPr>
            </w:pPr>
          </w:p>
        </w:tc>
        <w:tc>
          <w:tcPr>
            <w:tcW w:w="1641" w:type="dxa"/>
            <w:vAlign w:val="center"/>
          </w:tcPr>
          <w:p w14:paraId="3E8BBC97">
            <w:pPr>
              <w:spacing w:line="240" w:lineRule="auto"/>
              <w:jc w:val="center"/>
              <w:rPr>
                <w:rFonts w:ascii="Calibri" w:hAnsi="Calibri" w:eastAsia="宋体" w:cs="Times New Roman"/>
                <w:color w:val="auto"/>
                <w:szCs w:val="24"/>
              </w:rPr>
            </w:pPr>
          </w:p>
        </w:tc>
        <w:tc>
          <w:tcPr>
            <w:tcW w:w="1641" w:type="dxa"/>
            <w:vAlign w:val="center"/>
          </w:tcPr>
          <w:p w14:paraId="6D7BFE5B">
            <w:pPr>
              <w:spacing w:line="240" w:lineRule="auto"/>
              <w:jc w:val="center"/>
              <w:rPr>
                <w:rFonts w:ascii="Calibri" w:hAnsi="Calibri" w:eastAsia="宋体" w:cs="Times New Roman"/>
                <w:color w:val="auto"/>
                <w:szCs w:val="24"/>
              </w:rPr>
            </w:pPr>
          </w:p>
        </w:tc>
        <w:tc>
          <w:tcPr>
            <w:tcW w:w="1641" w:type="dxa"/>
            <w:vAlign w:val="center"/>
          </w:tcPr>
          <w:p w14:paraId="6E79D705">
            <w:pPr>
              <w:spacing w:line="240" w:lineRule="auto"/>
              <w:jc w:val="center"/>
              <w:rPr>
                <w:rFonts w:ascii="Calibri" w:hAnsi="Calibri" w:eastAsia="宋体" w:cs="Times New Roman"/>
                <w:color w:val="auto"/>
                <w:szCs w:val="24"/>
              </w:rPr>
            </w:pPr>
          </w:p>
        </w:tc>
        <w:tc>
          <w:tcPr>
            <w:tcW w:w="1642" w:type="dxa"/>
            <w:vAlign w:val="center"/>
          </w:tcPr>
          <w:p w14:paraId="3DB3842A">
            <w:pPr>
              <w:spacing w:line="240" w:lineRule="auto"/>
              <w:jc w:val="center"/>
              <w:rPr>
                <w:rFonts w:ascii="Calibri" w:hAnsi="Calibri" w:eastAsia="宋体" w:cs="Times New Roman"/>
                <w:color w:val="auto"/>
                <w:szCs w:val="24"/>
              </w:rPr>
            </w:pPr>
          </w:p>
        </w:tc>
      </w:tr>
      <w:tr w14:paraId="7C810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jc w:val="center"/>
        </w:trPr>
        <w:tc>
          <w:tcPr>
            <w:tcW w:w="1092" w:type="dxa"/>
            <w:vAlign w:val="center"/>
          </w:tcPr>
          <w:p w14:paraId="0CC0BBFD">
            <w:pPr>
              <w:spacing w:line="240" w:lineRule="auto"/>
              <w:jc w:val="center"/>
              <w:rPr>
                <w:rFonts w:hint="eastAsia" w:ascii="Calibri" w:hAnsi="Calibri" w:eastAsia="宋体" w:cs="Times New Roman"/>
                <w:color w:val="auto"/>
                <w:lang w:val="en-US" w:eastAsia="zh-Hans"/>
              </w:rPr>
            </w:pPr>
            <w:r>
              <w:rPr>
                <w:rFonts w:hint="eastAsia" w:ascii="Calibri" w:hAnsi="Calibri" w:eastAsia="宋体" w:cs="Times New Roman"/>
                <w:color w:val="auto"/>
                <w:lang w:val="en-US" w:eastAsia="zh-Hans"/>
              </w:rPr>
              <w:t>2</w:t>
            </w:r>
          </w:p>
        </w:tc>
        <w:tc>
          <w:tcPr>
            <w:tcW w:w="2187" w:type="dxa"/>
            <w:vAlign w:val="center"/>
          </w:tcPr>
          <w:p w14:paraId="077EEF39">
            <w:pPr>
              <w:spacing w:line="240" w:lineRule="auto"/>
              <w:jc w:val="center"/>
              <w:rPr>
                <w:rFonts w:ascii="Calibri" w:hAnsi="Calibri" w:eastAsia="宋体" w:cs="Times New Roman"/>
                <w:color w:val="auto"/>
                <w:szCs w:val="24"/>
              </w:rPr>
            </w:pPr>
          </w:p>
        </w:tc>
        <w:tc>
          <w:tcPr>
            <w:tcW w:w="1641" w:type="dxa"/>
            <w:vAlign w:val="center"/>
          </w:tcPr>
          <w:p w14:paraId="16C37795">
            <w:pPr>
              <w:spacing w:line="240" w:lineRule="auto"/>
              <w:jc w:val="center"/>
              <w:rPr>
                <w:rFonts w:ascii="Calibri" w:hAnsi="Calibri" w:eastAsia="宋体" w:cs="Times New Roman"/>
                <w:color w:val="auto"/>
                <w:szCs w:val="24"/>
              </w:rPr>
            </w:pPr>
          </w:p>
        </w:tc>
        <w:tc>
          <w:tcPr>
            <w:tcW w:w="1641" w:type="dxa"/>
            <w:vAlign w:val="center"/>
          </w:tcPr>
          <w:p w14:paraId="6D72B3EF">
            <w:pPr>
              <w:spacing w:line="240" w:lineRule="auto"/>
              <w:jc w:val="center"/>
              <w:rPr>
                <w:rFonts w:ascii="Calibri" w:hAnsi="Calibri" w:eastAsia="宋体" w:cs="Times New Roman"/>
                <w:color w:val="auto"/>
                <w:szCs w:val="24"/>
              </w:rPr>
            </w:pPr>
          </w:p>
        </w:tc>
        <w:tc>
          <w:tcPr>
            <w:tcW w:w="1641" w:type="dxa"/>
            <w:vAlign w:val="center"/>
          </w:tcPr>
          <w:p w14:paraId="195C7CD7">
            <w:pPr>
              <w:spacing w:line="240" w:lineRule="auto"/>
              <w:jc w:val="center"/>
              <w:rPr>
                <w:rFonts w:ascii="Calibri" w:hAnsi="Calibri" w:eastAsia="宋体" w:cs="Times New Roman"/>
                <w:color w:val="auto"/>
                <w:szCs w:val="24"/>
              </w:rPr>
            </w:pPr>
          </w:p>
        </w:tc>
        <w:tc>
          <w:tcPr>
            <w:tcW w:w="1642" w:type="dxa"/>
            <w:vAlign w:val="center"/>
          </w:tcPr>
          <w:p w14:paraId="54B00746">
            <w:pPr>
              <w:spacing w:line="240" w:lineRule="auto"/>
              <w:jc w:val="center"/>
              <w:rPr>
                <w:rFonts w:ascii="Calibri" w:hAnsi="Calibri" w:eastAsia="宋体" w:cs="Times New Roman"/>
                <w:color w:val="auto"/>
                <w:szCs w:val="24"/>
              </w:rPr>
            </w:pPr>
          </w:p>
        </w:tc>
      </w:tr>
      <w:tr w14:paraId="05588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jc w:val="center"/>
        </w:trPr>
        <w:tc>
          <w:tcPr>
            <w:tcW w:w="1092" w:type="dxa"/>
            <w:vAlign w:val="center"/>
          </w:tcPr>
          <w:p w14:paraId="494ED6F9">
            <w:pPr>
              <w:spacing w:line="240" w:lineRule="auto"/>
              <w:jc w:val="center"/>
              <w:rPr>
                <w:rFonts w:hint="eastAsia" w:ascii="Calibri" w:hAnsi="Calibri" w:eastAsia="宋体" w:cs="Times New Roman"/>
                <w:color w:val="auto"/>
                <w:lang w:val="en-US" w:eastAsia="zh-Hans"/>
              </w:rPr>
            </w:pPr>
            <w:r>
              <w:rPr>
                <w:rFonts w:hint="eastAsia" w:ascii="Calibri" w:hAnsi="Calibri" w:eastAsia="宋体" w:cs="Times New Roman"/>
                <w:color w:val="auto"/>
                <w:lang w:val="en-US" w:eastAsia="zh-Hans"/>
              </w:rPr>
              <w:t>3</w:t>
            </w:r>
          </w:p>
        </w:tc>
        <w:tc>
          <w:tcPr>
            <w:tcW w:w="2187" w:type="dxa"/>
            <w:vAlign w:val="center"/>
          </w:tcPr>
          <w:p w14:paraId="5C391423">
            <w:pPr>
              <w:spacing w:line="240" w:lineRule="auto"/>
              <w:jc w:val="center"/>
              <w:rPr>
                <w:rFonts w:ascii="Calibri" w:hAnsi="Calibri" w:eastAsia="宋体" w:cs="Times New Roman"/>
                <w:color w:val="auto"/>
                <w:szCs w:val="24"/>
              </w:rPr>
            </w:pPr>
          </w:p>
        </w:tc>
        <w:tc>
          <w:tcPr>
            <w:tcW w:w="1641" w:type="dxa"/>
            <w:vAlign w:val="center"/>
          </w:tcPr>
          <w:p w14:paraId="28E77480">
            <w:pPr>
              <w:spacing w:line="240" w:lineRule="auto"/>
              <w:jc w:val="center"/>
              <w:rPr>
                <w:rFonts w:ascii="Calibri" w:hAnsi="Calibri" w:eastAsia="宋体" w:cs="Times New Roman"/>
                <w:color w:val="auto"/>
                <w:szCs w:val="24"/>
              </w:rPr>
            </w:pPr>
          </w:p>
        </w:tc>
        <w:tc>
          <w:tcPr>
            <w:tcW w:w="1641" w:type="dxa"/>
            <w:vAlign w:val="center"/>
          </w:tcPr>
          <w:p w14:paraId="71364125">
            <w:pPr>
              <w:spacing w:line="240" w:lineRule="auto"/>
              <w:jc w:val="center"/>
              <w:rPr>
                <w:rFonts w:ascii="Calibri" w:hAnsi="Calibri" w:eastAsia="宋体" w:cs="Times New Roman"/>
                <w:color w:val="auto"/>
                <w:szCs w:val="24"/>
              </w:rPr>
            </w:pPr>
          </w:p>
        </w:tc>
        <w:tc>
          <w:tcPr>
            <w:tcW w:w="1641" w:type="dxa"/>
            <w:vAlign w:val="center"/>
          </w:tcPr>
          <w:p w14:paraId="1BD8CE7D">
            <w:pPr>
              <w:spacing w:line="240" w:lineRule="auto"/>
              <w:jc w:val="center"/>
              <w:rPr>
                <w:rFonts w:ascii="Calibri" w:hAnsi="Calibri" w:eastAsia="宋体" w:cs="Times New Roman"/>
                <w:color w:val="auto"/>
                <w:szCs w:val="24"/>
              </w:rPr>
            </w:pPr>
          </w:p>
        </w:tc>
        <w:tc>
          <w:tcPr>
            <w:tcW w:w="1642" w:type="dxa"/>
            <w:vAlign w:val="center"/>
          </w:tcPr>
          <w:p w14:paraId="5D4E96F9">
            <w:pPr>
              <w:spacing w:line="240" w:lineRule="auto"/>
              <w:jc w:val="center"/>
              <w:rPr>
                <w:rFonts w:ascii="Calibri" w:hAnsi="Calibri" w:eastAsia="宋体" w:cs="Times New Roman"/>
                <w:color w:val="auto"/>
                <w:szCs w:val="24"/>
              </w:rPr>
            </w:pPr>
          </w:p>
        </w:tc>
      </w:tr>
      <w:tr w14:paraId="53FFD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jc w:val="center"/>
        </w:trPr>
        <w:tc>
          <w:tcPr>
            <w:tcW w:w="1092" w:type="dxa"/>
            <w:vAlign w:val="center"/>
          </w:tcPr>
          <w:p w14:paraId="65C05C45">
            <w:pPr>
              <w:spacing w:line="240" w:lineRule="auto"/>
              <w:jc w:val="center"/>
              <w:rPr>
                <w:rFonts w:hint="eastAsia" w:ascii="Calibri" w:hAnsi="Calibri" w:eastAsia="宋体" w:cs="Times New Roman"/>
                <w:color w:val="auto"/>
                <w:lang w:val="en-US" w:eastAsia="zh-Hans"/>
              </w:rPr>
            </w:pPr>
            <w:r>
              <w:rPr>
                <w:rFonts w:hint="eastAsia" w:ascii="Calibri" w:hAnsi="Calibri" w:eastAsia="宋体" w:cs="Times New Roman"/>
                <w:color w:val="auto"/>
                <w:lang w:val="en-US" w:eastAsia="zh-Hans"/>
              </w:rPr>
              <w:t>…</w:t>
            </w:r>
          </w:p>
        </w:tc>
        <w:tc>
          <w:tcPr>
            <w:tcW w:w="2187" w:type="dxa"/>
            <w:vAlign w:val="center"/>
          </w:tcPr>
          <w:p w14:paraId="574AEABF">
            <w:pPr>
              <w:spacing w:line="240" w:lineRule="auto"/>
              <w:jc w:val="center"/>
              <w:rPr>
                <w:rFonts w:ascii="Calibri" w:hAnsi="Calibri" w:eastAsia="宋体" w:cs="Times New Roman"/>
                <w:color w:val="auto"/>
                <w:szCs w:val="24"/>
              </w:rPr>
            </w:pPr>
          </w:p>
        </w:tc>
        <w:tc>
          <w:tcPr>
            <w:tcW w:w="1641" w:type="dxa"/>
            <w:vAlign w:val="center"/>
          </w:tcPr>
          <w:p w14:paraId="5C5F5766">
            <w:pPr>
              <w:spacing w:line="240" w:lineRule="auto"/>
              <w:jc w:val="center"/>
              <w:rPr>
                <w:rFonts w:ascii="Calibri" w:hAnsi="Calibri" w:eastAsia="宋体" w:cs="Times New Roman"/>
                <w:color w:val="auto"/>
                <w:szCs w:val="24"/>
              </w:rPr>
            </w:pPr>
          </w:p>
        </w:tc>
        <w:tc>
          <w:tcPr>
            <w:tcW w:w="1641" w:type="dxa"/>
            <w:vAlign w:val="center"/>
          </w:tcPr>
          <w:p w14:paraId="17833541">
            <w:pPr>
              <w:spacing w:line="240" w:lineRule="auto"/>
              <w:jc w:val="center"/>
              <w:rPr>
                <w:rFonts w:ascii="Calibri" w:hAnsi="Calibri" w:eastAsia="宋体" w:cs="Times New Roman"/>
                <w:color w:val="auto"/>
                <w:szCs w:val="24"/>
              </w:rPr>
            </w:pPr>
          </w:p>
        </w:tc>
        <w:tc>
          <w:tcPr>
            <w:tcW w:w="1641" w:type="dxa"/>
            <w:vAlign w:val="center"/>
          </w:tcPr>
          <w:p w14:paraId="3DD01862">
            <w:pPr>
              <w:spacing w:line="240" w:lineRule="auto"/>
              <w:jc w:val="center"/>
              <w:rPr>
                <w:rFonts w:ascii="Calibri" w:hAnsi="Calibri" w:eastAsia="宋体" w:cs="Times New Roman"/>
                <w:color w:val="auto"/>
                <w:szCs w:val="24"/>
              </w:rPr>
            </w:pPr>
          </w:p>
        </w:tc>
        <w:tc>
          <w:tcPr>
            <w:tcW w:w="1642" w:type="dxa"/>
            <w:vAlign w:val="center"/>
          </w:tcPr>
          <w:p w14:paraId="4BC0BA73">
            <w:pPr>
              <w:spacing w:line="240" w:lineRule="auto"/>
              <w:jc w:val="center"/>
              <w:rPr>
                <w:rFonts w:ascii="Calibri" w:hAnsi="Calibri" w:eastAsia="宋体" w:cs="Times New Roman"/>
                <w:color w:val="auto"/>
                <w:szCs w:val="24"/>
              </w:rPr>
            </w:pPr>
          </w:p>
        </w:tc>
      </w:tr>
    </w:tbl>
    <w:p w14:paraId="47E744DD">
      <w:pPr>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根据上述业绩情况，按</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文件要求附合同复印件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11AB00D1">
      <w:pPr>
        <w:pStyle w:val="37"/>
        <w:rPr>
          <w:rFonts w:ascii="宋体" w:hAnsi="宋体" w:cs="宋体"/>
          <w:color w:val="auto"/>
        </w:rPr>
      </w:pPr>
      <w:r>
        <w:rPr>
          <w:rFonts w:hint="eastAsia" w:ascii="宋体" w:hAnsi="宋体" w:eastAsia="宋体" w:cs="宋体"/>
          <w:b/>
          <w:color w:val="auto"/>
          <w:sz w:val="28"/>
          <w:szCs w:val="28"/>
        </w:rPr>
        <w:br w:type="page"/>
      </w:r>
    </w:p>
    <w:p w14:paraId="2ED658E0">
      <w:pPr>
        <w:spacing w:line="480" w:lineRule="exact"/>
        <w:jc w:val="center"/>
        <w:rPr>
          <w:rFonts w:ascii="宋体" w:hAnsi="宋体" w:cs="宋体"/>
          <w:b/>
          <w:color w:val="auto"/>
          <w:sz w:val="28"/>
          <w:szCs w:val="28"/>
        </w:rPr>
      </w:pPr>
      <w:r>
        <w:rPr>
          <w:rFonts w:hint="eastAsia" w:ascii="宋体" w:hAnsi="宋体" w:cs="宋体"/>
          <w:b/>
          <w:color w:val="auto"/>
          <w:sz w:val="28"/>
          <w:szCs w:val="28"/>
        </w:rPr>
        <w:t>2、</w:t>
      </w:r>
      <w:r>
        <w:rPr>
          <w:rFonts w:hint="eastAsia" w:ascii="宋体" w:hAnsi="宋体" w:cs="宋体"/>
          <w:b/>
          <w:color w:val="auto"/>
          <w:sz w:val="28"/>
          <w:szCs w:val="28"/>
          <w:lang w:val="en-US" w:eastAsia="zh-CN"/>
        </w:rPr>
        <w:t>商务要求</w:t>
      </w:r>
      <w:r>
        <w:rPr>
          <w:rFonts w:hint="eastAsia" w:ascii="宋体" w:hAnsi="宋体" w:cs="宋体"/>
          <w:b/>
          <w:color w:val="auto"/>
          <w:sz w:val="28"/>
          <w:szCs w:val="28"/>
        </w:rPr>
        <w:t>响应表</w:t>
      </w:r>
    </w:p>
    <w:p w14:paraId="6F5178DB">
      <w:pPr>
        <w:spacing w:line="480" w:lineRule="exact"/>
        <w:rPr>
          <w:rFonts w:ascii="宋体" w:hAnsi="宋体" w:cs="宋体"/>
          <w:color w:val="auto"/>
        </w:rPr>
      </w:pPr>
      <w:r>
        <w:rPr>
          <w:rFonts w:hint="eastAsia" w:ascii="宋体" w:hAnsi="宋体" w:cs="宋体"/>
          <w:b/>
          <w:color w:val="auto"/>
        </w:rPr>
        <w:t>[说明]</w:t>
      </w:r>
      <w:r>
        <w:rPr>
          <w:rFonts w:hint="eastAsia" w:ascii="宋体" w:hAnsi="宋体" w:cs="宋体"/>
          <w:color w:val="auto"/>
        </w:rPr>
        <w:t>供应商应对照</w:t>
      </w:r>
      <w:r>
        <w:rPr>
          <w:rFonts w:hint="eastAsia" w:ascii="宋体" w:hAnsi="宋体" w:cs="宋体"/>
          <w:color w:val="auto"/>
          <w:lang w:eastAsia="zh-CN"/>
        </w:rPr>
        <w:t>采购文件</w:t>
      </w:r>
      <w:r>
        <w:rPr>
          <w:rFonts w:hint="eastAsia" w:ascii="宋体" w:hAnsi="宋体" w:cs="宋体"/>
          <w:color w:val="auto"/>
        </w:rPr>
        <w:t>第二章《用户需求书》的商务要求</w:t>
      </w:r>
      <w:r>
        <w:rPr>
          <w:rFonts w:hint="eastAsia" w:ascii="宋体" w:hAnsi="宋体" w:cs="宋体"/>
          <w:color w:val="auto"/>
          <w:lang w:val="en-US" w:eastAsia="zh-CN"/>
        </w:rPr>
        <w:t>逐一</w:t>
      </w:r>
      <w:r>
        <w:rPr>
          <w:rFonts w:hint="eastAsia" w:ascii="宋体" w:hAnsi="宋体" w:cs="宋体"/>
          <w:color w:val="auto"/>
        </w:rPr>
        <w:t>响应，完全满足的在“是否响应”栏中填写“完全响应”，不能满足的填写“否”，有差异的则在“差异内容”栏中写明差异内容。</w:t>
      </w:r>
    </w:p>
    <w:p w14:paraId="5BAC20F3">
      <w:pPr>
        <w:tabs>
          <w:tab w:val="left" w:pos="1080"/>
          <w:tab w:val="left" w:pos="2160"/>
          <w:tab w:val="left" w:pos="3240"/>
          <w:tab w:val="left" w:pos="4320"/>
          <w:tab w:val="left" w:pos="5400"/>
        </w:tabs>
        <w:autoSpaceDE w:val="0"/>
        <w:autoSpaceDN w:val="0"/>
        <w:adjustRightInd w:val="0"/>
        <w:spacing w:line="480" w:lineRule="exact"/>
        <w:jc w:val="center"/>
        <w:rPr>
          <w:rFonts w:ascii="宋体" w:hAnsi="宋体" w:cs="宋体"/>
          <w:color w:val="auto"/>
        </w:rPr>
      </w:pPr>
    </w:p>
    <w:tbl>
      <w:tblPr>
        <w:tblStyle w:val="46"/>
        <w:tblW w:w="9270" w:type="dxa"/>
        <w:jc w:val="center"/>
        <w:tblLayout w:type="fixed"/>
        <w:tblCellMar>
          <w:top w:w="0" w:type="dxa"/>
          <w:left w:w="30" w:type="dxa"/>
          <w:bottom w:w="0" w:type="dxa"/>
          <w:right w:w="30" w:type="dxa"/>
        </w:tblCellMar>
      </w:tblPr>
      <w:tblGrid>
        <w:gridCol w:w="1080"/>
        <w:gridCol w:w="950"/>
        <w:gridCol w:w="2830"/>
        <w:gridCol w:w="2116"/>
        <w:gridCol w:w="2294"/>
      </w:tblGrid>
      <w:tr w14:paraId="76C9400B">
        <w:tblPrEx>
          <w:tblCellMar>
            <w:top w:w="0" w:type="dxa"/>
            <w:left w:w="30" w:type="dxa"/>
            <w:bottom w:w="0" w:type="dxa"/>
            <w:right w:w="30" w:type="dxa"/>
          </w:tblCellMar>
        </w:tblPrEx>
        <w:trPr>
          <w:cantSplit/>
          <w:trHeight w:val="584" w:hRule="atLeast"/>
          <w:jc w:val="center"/>
        </w:trPr>
        <w:tc>
          <w:tcPr>
            <w:tcW w:w="1080" w:type="dxa"/>
            <w:vMerge w:val="restart"/>
            <w:tcBorders>
              <w:top w:val="single" w:color="auto" w:sz="12" w:space="0"/>
              <w:left w:val="single" w:color="auto" w:sz="12" w:space="0"/>
              <w:right w:val="single" w:color="auto" w:sz="6" w:space="0"/>
            </w:tcBorders>
            <w:vAlign w:val="center"/>
          </w:tcPr>
          <w:p w14:paraId="30C52292">
            <w:pPr>
              <w:autoSpaceDE w:val="0"/>
              <w:autoSpaceDN w:val="0"/>
              <w:adjustRightInd w:val="0"/>
              <w:spacing w:line="480" w:lineRule="exact"/>
              <w:jc w:val="center"/>
              <w:rPr>
                <w:rFonts w:ascii="宋体" w:hAnsi="宋体" w:cs="宋体"/>
                <w:color w:val="auto"/>
              </w:rPr>
            </w:pPr>
            <w:r>
              <w:rPr>
                <w:rFonts w:hint="eastAsia" w:ascii="宋体" w:hAnsi="宋体" w:cs="宋体"/>
                <w:color w:val="auto"/>
              </w:rPr>
              <w:t>序号</w:t>
            </w:r>
          </w:p>
        </w:tc>
        <w:tc>
          <w:tcPr>
            <w:tcW w:w="3780" w:type="dxa"/>
            <w:gridSpan w:val="2"/>
            <w:tcBorders>
              <w:top w:val="single" w:color="auto" w:sz="12" w:space="0"/>
              <w:left w:val="single" w:color="auto" w:sz="6" w:space="0"/>
              <w:bottom w:val="single" w:color="auto" w:sz="4" w:space="0"/>
            </w:tcBorders>
            <w:vAlign w:val="center"/>
          </w:tcPr>
          <w:p w14:paraId="59C21962">
            <w:pPr>
              <w:autoSpaceDE w:val="0"/>
              <w:autoSpaceDN w:val="0"/>
              <w:adjustRightInd w:val="0"/>
              <w:spacing w:line="480" w:lineRule="exact"/>
              <w:ind w:left="-2" w:leftChars="-1"/>
              <w:jc w:val="center"/>
              <w:rPr>
                <w:rFonts w:ascii="宋体" w:hAnsi="宋体" w:cs="宋体"/>
                <w:color w:val="auto"/>
              </w:rPr>
            </w:pPr>
            <w:r>
              <w:rPr>
                <w:rFonts w:hint="eastAsia" w:ascii="宋体" w:hAnsi="宋体" w:cs="宋体"/>
                <w:color w:val="auto"/>
              </w:rPr>
              <w:t>商务要求</w:t>
            </w:r>
          </w:p>
        </w:tc>
        <w:tc>
          <w:tcPr>
            <w:tcW w:w="4410" w:type="dxa"/>
            <w:gridSpan w:val="2"/>
            <w:tcBorders>
              <w:top w:val="single" w:color="auto" w:sz="12" w:space="0"/>
              <w:left w:val="single" w:color="auto" w:sz="6" w:space="0"/>
              <w:bottom w:val="single" w:color="auto" w:sz="6" w:space="0"/>
              <w:right w:val="single" w:color="auto" w:sz="12" w:space="0"/>
            </w:tcBorders>
            <w:vAlign w:val="center"/>
          </w:tcPr>
          <w:p w14:paraId="0DC84EE9">
            <w:pPr>
              <w:autoSpaceDE w:val="0"/>
              <w:autoSpaceDN w:val="0"/>
              <w:adjustRightInd w:val="0"/>
              <w:spacing w:line="480" w:lineRule="exact"/>
              <w:jc w:val="center"/>
              <w:rPr>
                <w:rFonts w:ascii="宋体" w:hAnsi="宋体" w:cs="宋体"/>
                <w:color w:val="auto"/>
              </w:rPr>
            </w:pPr>
            <w:r>
              <w:rPr>
                <w:rFonts w:hint="eastAsia" w:ascii="宋体" w:hAnsi="宋体" w:cs="宋体"/>
                <w:color w:val="auto"/>
              </w:rPr>
              <w:t>投标响应情况</w:t>
            </w:r>
          </w:p>
        </w:tc>
      </w:tr>
      <w:tr w14:paraId="4A373013">
        <w:tblPrEx>
          <w:tblCellMar>
            <w:top w:w="0" w:type="dxa"/>
            <w:left w:w="30" w:type="dxa"/>
            <w:bottom w:w="0" w:type="dxa"/>
            <w:right w:w="30" w:type="dxa"/>
          </w:tblCellMar>
        </w:tblPrEx>
        <w:trPr>
          <w:cantSplit/>
          <w:trHeight w:val="607" w:hRule="atLeast"/>
          <w:jc w:val="center"/>
        </w:trPr>
        <w:tc>
          <w:tcPr>
            <w:tcW w:w="1080" w:type="dxa"/>
            <w:vMerge w:val="continue"/>
            <w:tcBorders>
              <w:left w:val="single" w:color="auto" w:sz="12" w:space="0"/>
              <w:bottom w:val="single" w:color="auto" w:sz="6" w:space="0"/>
              <w:right w:val="single" w:color="auto" w:sz="6" w:space="0"/>
            </w:tcBorders>
            <w:vAlign w:val="center"/>
          </w:tcPr>
          <w:p w14:paraId="4C3D7ECF">
            <w:pPr>
              <w:autoSpaceDE w:val="0"/>
              <w:autoSpaceDN w:val="0"/>
              <w:adjustRightInd w:val="0"/>
              <w:spacing w:line="480" w:lineRule="exact"/>
              <w:jc w:val="center"/>
              <w:rPr>
                <w:rFonts w:ascii="宋体" w:hAnsi="宋体" w:cs="宋体"/>
                <w:color w:val="auto"/>
              </w:rPr>
            </w:pPr>
          </w:p>
        </w:tc>
        <w:tc>
          <w:tcPr>
            <w:tcW w:w="950" w:type="dxa"/>
            <w:tcBorders>
              <w:top w:val="single" w:color="auto" w:sz="4" w:space="0"/>
              <w:left w:val="single" w:color="auto" w:sz="6" w:space="0"/>
              <w:bottom w:val="single" w:color="auto" w:sz="6" w:space="0"/>
              <w:right w:val="single" w:color="auto" w:sz="4" w:space="0"/>
            </w:tcBorders>
            <w:vAlign w:val="center"/>
          </w:tcPr>
          <w:p w14:paraId="48C0FE8D">
            <w:pPr>
              <w:autoSpaceDE w:val="0"/>
              <w:autoSpaceDN w:val="0"/>
              <w:adjustRightInd w:val="0"/>
              <w:spacing w:line="480" w:lineRule="exact"/>
              <w:jc w:val="center"/>
              <w:rPr>
                <w:rFonts w:ascii="宋体" w:hAnsi="宋体" w:cs="宋体"/>
                <w:color w:val="auto"/>
              </w:rPr>
            </w:pPr>
            <w:r>
              <w:rPr>
                <w:rFonts w:hint="eastAsia" w:ascii="宋体" w:hAnsi="宋体" w:cs="宋体"/>
                <w:color w:val="auto"/>
              </w:rPr>
              <w:t>条目</w:t>
            </w:r>
          </w:p>
        </w:tc>
        <w:tc>
          <w:tcPr>
            <w:tcW w:w="2830" w:type="dxa"/>
            <w:tcBorders>
              <w:top w:val="single" w:color="auto" w:sz="6" w:space="0"/>
              <w:left w:val="single" w:color="auto" w:sz="4" w:space="0"/>
              <w:bottom w:val="single" w:color="auto" w:sz="6" w:space="0"/>
              <w:right w:val="single" w:color="auto" w:sz="6" w:space="0"/>
            </w:tcBorders>
            <w:vAlign w:val="center"/>
          </w:tcPr>
          <w:p w14:paraId="6FE269A7">
            <w:pPr>
              <w:autoSpaceDE w:val="0"/>
              <w:autoSpaceDN w:val="0"/>
              <w:adjustRightInd w:val="0"/>
              <w:spacing w:line="480" w:lineRule="exact"/>
              <w:jc w:val="center"/>
              <w:rPr>
                <w:rFonts w:ascii="宋体" w:hAnsi="宋体" w:cs="宋体"/>
                <w:color w:val="auto"/>
              </w:rPr>
            </w:pPr>
            <w:r>
              <w:rPr>
                <w:rFonts w:hint="eastAsia" w:ascii="宋体" w:hAnsi="宋体" w:cs="宋体"/>
                <w:color w:val="auto"/>
              </w:rPr>
              <w:t>简要内容</w:t>
            </w:r>
          </w:p>
        </w:tc>
        <w:tc>
          <w:tcPr>
            <w:tcW w:w="2116" w:type="dxa"/>
            <w:tcBorders>
              <w:top w:val="single" w:color="auto" w:sz="6" w:space="0"/>
              <w:left w:val="single" w:color="auto" w:sz="6" w:space="0"/>
              <w:bottom w:val="single" w:color="auto" w:sz="6" w:space="0"/>
              <w:right w:val="single" w:color="auto" w:sz="6" w:space="0"/>
            </w:tcBorders>
            <w:vAlign w:val="center"/>
          </w:tcPr>
          <w:p w14:paraId="5D6FB964">
            <w:pPr>
              <w:autoSpaceDE w:val="0"/>
              <w:autoSpaceDN w:val="0"/>
              <w:adjustRightInd w:val="0"/>
              <w:spacing w:line="480" w:lineRule="exact"/>
              <w:jc w:val="center"/>
              <w:rPr>
                <w:rFonts w:ascii="宋体" w:hAnsi="宋体" w:cs="宋体"/>
                <w:color w:val="auto"/>
              </w:rPr>
            </w:pPr>
            <w:r>
              <w:rPr>
                <w:rFonts w:hint="eastAsia" w:ascii="宋体" w:hAnsi="宋体" w:cs="宋体"/>
                <w:color w:val="auto"/>
              </w:rPr>
              <w:t>是否响应</w:t>
            </w:r>
          </w:p>
        </w:tc>
        <w:tc>
          <w:tcPr>
            <w:tcW w:w="2294" w:type="dxa"/>
            <w:tcBorders>
              <w:top w:val="single" w:color="auto" w:sz="6" w:space="0"/>
              <w:left w:val="single" w:color="auto" w:sz="6" w:space="0"/>
              <w:bottom w:val="single" w:color="auto" w:sz="6" w:space="0"/>
              <w:right w:val="single" w:color="auto" w:sz="12" w:space="0"/>
            </w:tcBorders>
            <w:vAlign w:val="center"/>
          </w:tcPr>
          <w:p w14:paraId="4E760493">
            <w:pPr>
              <w:autoSpaceDE w:val="0"/>
              <w:autoSpaceDN w:val="0"/>
              <w:adjustRightInd w:val="0"/>
              <w:spacing w:line="480" w:lineRule="exact"/>
              <w:jc w:val="center"/>
              <w:rPr>
                <w:rFonts w:ascii="宋体" w:hAnsi="宋体" w:cs="宋体"/>
                <w:color w:val="auto"/>
              </w:rPr>
            </w:pPr>
            <w:r>
              <w:rPr>
                <w:rFonts w:hint="eastAsia" w:ascii="宋体" w:hAnsi="宋体" w:cs="宋体"/>
                <w:color w:val="auto"/>
              </w:rPr>
              <w:t>差异内容</w:t>
            </w:r>
          </w:p>
        </w:tc>
      </w:tr>
      <w:tr w14:paraId="1C20B33B">
        <w:tblPrEx>
          <w:tblCellMar>
            <w:top w:w="0" w:type="dxa"/>
            <w:left w:w="30" w:type="dxa"/>
            <w:bottom w:w="0" w:type="dxa"/>
            <w:right w:w="30" w:type="dxa"/>
          </w:tblCellMar>
        </w:tblPrEx>
        <w:trPr>
          <w:cantSplit/>
          <w:trHeight w:val="440" w:hRule="exact"/>
          <w:jc w:val="center"/>
        </w:trPr>
        <w:tc>
          <w:tcPr>
            <w:tcW w:w="1080" w:type="dxa"/>
            <w:tcBorders>
              <w:top w:val="single" w:color="auto" w:sz="6" w:space="0"/>
              <w:left w:val="single" w:color="auto" w:sz="12" w:space="0"/>
              <w:bottom w:val="single" w:color="auto" w:sz="6" w:space="0"/>
              <w:right w:val="single" w:color="auto" w:sz="6" w:space="0"/>
            </w:tcBorders>
            <w:vAlign w:val="center"/>
          </w:tcPr>
          <w:p w14:paraId="07B73781">
            <w:pPr>
              <w:autoSpaceDE w:val="0"/>
              <w:autoSpaceDN w:val="0"/>
              <w:adjustRightInd w:val="0"/>
              <w:spacing w:line="480" w:lineRule="exact"/>
              <w:jc w:val="center"/>
              <w:rPr>
                <w:rFonts w:ascii="宋体" w:hAnsi="宋体" w:cs="宋体"/>
                <w:color w:val="auto"/>
              </w:rPr>
            </w:pPr>
          </w:p>
        </w:tc>
        <w:tc>
          <w:tcPr>
            <w:tcW w:w="950" w:type="dxa"/>
            <w:tcBorders>
              <w:top w:val="single" w:color="auto" w:sz="6" w:space="0"/>
              <w:left w:val="single" w:color="auto" w:sz="6" w:space="0"/>
              <w:bottom w:val="single" w:color="auto" w:sz="6" w:space="0"/>
              <w:right w:val="single" w:color="auto" w:sz="6" w:space="0"/>
            </w:tcBorders>
            <w:vAlign w:val="center"/>
          </w:tcPr>
          <w:p w14:paraId="354C72A1">
            <w:pPr>
              <w:autoSpaceDE w:val="0"/>
              <w:autoSpaceDN w:val="0"/>
              <w:adjustRightInd w:val="0"/>
              <w:spacing w:line="480" w:lineRule="exact"/>
              <w:jc w:val="center"/>
              <w:rPr>
                <w:rFonts w:ascii="宋体" w:hAnsi="宋体" w:cs="宋体"/>
                <w:color w:val="auto"/>
              </w:rPr>
            </w:pPr>
          </w:p>
        </w:tc>
        <w:tc>
          <w:tcPr>
            <w:tcW w:w="2830" w:type="dxa"/>
            <w:tcBorders>
              <w:top w:val="single" w:color="auto" w:sz="6" w:space="0"/>
              <w:left w:val="single" w:color="auto" w:sz="6" w:space="0"/>
              <w:bottom w:val="single" w:color="auto" w:sz="6" w:space="0"/>
              <w:right w:val="single" w:color="auto" w:sz="6" w:space="0"/>
            </w:tcBorders>
            <w:vAlign w:val="center"/>
          </w:tcPr>
          <w:p w14:paraId="23D264C4">
            <w:pPr>
              <w:autoSpaceDE w:val="0"/>
              <w:autoSpaceDN w:val="0"/>
              <w:adjustRightInd w:val="0"/>
              <w:spacing w:line="480" w:lineRule="exact"/>
              <w:jc w:val="center"/>
              <w:rPr>
                <w:rFonts w:ascii="宋体" w:hAnsi="宋体" w:cs="宋体"/>
                <w:color w:val="auto"/>
              </w:rPr>
            </w:pPr>
          </w:p>
        </w:tc>
        <w:tc>
          <w:tcPr>
            <w:tcW w:w="2116" w:type="dxa"/>
            <w:tcBorders>
              <w:top w:val="single" w:color="auto" w:sz="6" w:space="0"/>
              <w:left w:val="single" w:color="auto" w:sz="6" w:space="0"/>
              <w:bottom w:val="single" w:color="auto" w:sz="6" w:space="0"/>
              <w:right w:val="single" w:color="auto" w:sz="6" w:space="0"/>
            </w:tcBorders>
            <w:vAlign w:val="center"/>
          </w:tcPr>
          <w:p w14:paraId="6462D1F4">
            <w:pPr>
              <w:autoSpaceDE w:val="0"/>
              <w:autoSpaceDN w:val="0"/>
              <w:adjustRightInd w:val="0"/>
              <w:spacing w:line="480" w:lineRule="exact"/>
              <w:jc w:val="center"/>
              <w:rPr>
                <w:rFonts w:ascii="宋体" w:hAnsi="宋体" w:cs="宋体"/>
                <w:color w:val="auto"/>
              </w:rPr>
            </w:pPr>
          </w:p>
        </w:tc>
        <w:tc>
          <w:tcPr>
            <w:tcW w:w="2294" w:type="dxa"/>
            <w:tcBorders>
              <w:top w:val="single" w:color="auto" w:sz="6" w:space="0"/>
              <w:left w:val="single" w:color="auto" w:sz="6" w:space="0"/>
              <w:bottom w:val="single" w:color="auto" w:sz="6" w:space="0"/>
              <w:right w:val="single" w:color="auto" w:sz="12" w:space="0"/>
            </w:tcBorders>
            <w:vAlign w:val="center"/>
          </w:tcPr>
          <w:p w14:paraId="6AE85C05">
            <w:pPr>
              <w:autoSpaceDE w:val="0"/>
              <w:autoSpaceDN w:val="0"/>
              <w:adjustRightInd w:val="0"/>
              <w:spacing w:line="480" w:lineRule="exact"/>
              <w:jc w:val="center"/>
              <w:rPr>
                <w:rFonts w:ascii="宋体" w:hAnsi="宋体" w:cs="宋体"/>
                <w:color w:val="auto"/>
              </w:rPr>
            </w:pPr>
          </w:p>
        </w:tc>
      </w:tr>
      <w:tr w14:paraId="357A9B8A">
        <w:tblPrEx>
          <w:tblCellMar>
            <w:top w:w="0" w:type="dxa"/>
            <w:left w:w="30" w:type="dxa"/>
            <w:bottom w:w="0" w:type="dxa"/>
            <w:right w:w="30" w:type="dxa"/>
          </w:tblCellMar>
        </w:tblPrEx>
        <w:trPr>
          <w:cantSplit/>
          <w:trHeight w:val="521" w:hRule="exact"/>
          <w:jc w:val="center"/>
        </w:trPr>
        <w:tc>
          <w:tcPr>
            <w:tcW w:w="1080" w:type="dxa"/>
            <w:tcBorders>
              <w:top w:val="single" w:color="auto" w:sz="6" w:space="0"/>
              <w:left w:val="single" w:color="auto" w:sz="12" w:space="0"/>
              <w:bottom w:val="single" w:color="auto" w:sz="6" w:space="0"/>
              <w:right w:val="single" w:color="auto" w:sz="6" w:space="0"/>
            </w:tcBorders>
            <w:vAlign w:val="center"/>
          </w:tcPr>
          <w:p w14:paraId="7B228FE9">
            <w:pPr>
              <w:autoSpaceDE w:val="0"/>
              <w:autoSpaceDN w:val="0"/>
              <w:adjustRightInd w:val="0"/>
              <w:spacing w:line="480" w:lineRule="exact"/>
              <w:jc w:val="center"/>
              <w:rPr>
                <w:rFonts w:ascii="宋体" w:hAnsi="宋体" w:cs="宋体"/>
                <w:color w:val="auto"/>
              </w:rPr>
            </w:pPr>
          </w:p>
        </w:tc>
        <w:tc>
          <w:tcPr>
            <w:tcW w:w="950" w:type="dxa"/>
            <w:tcBorders>
              <w:top w:val="single" w:color="auto" w:sz="6" w:space="0"/>
              <w:left w:val="single" w:color="auto" w:sz="6" w:space="0"/>
              <w:bottom w:val="single" w:color="auto" w:sz="6" w:space="0"/>
              <w:right w:val="single" w:color="auto" w:sz="6" w:space="0"/>
            </w:tcBorders>
            <w:vAlign w:val="center"/>
          </w:tcPr>
          <w:p w14:paraId="15AB29B6">
            <w:pPr>
              <w:autoSpaceDE w:val="0"/>
              <w:autoSpaceDN w:val="0"/>
              <w:adjustRightInd w:val="0"/>
              <w:spacing w:line="480" w:lineRule="exact"/>
              <w:jc w:val="center"/>
              <w:rPr>
                <w:rFonts w:ascii="宋体" w:hAnsi="宋体" w:cs="宋体"/>
                <w:color w:val="auto"/>
              </w:rPr>
            </w:pPr>
          </w:p>
        </w:tc>
        <w:tc>
          <w:tcPr>
            <w:tcW w:w="2830" w:type="dxa"/>
            <w:tcBorders>
              <w:top w:val="single" w:color="auto" w:sz="6" w:space="0"/>
              <w:left w:val="single" w:color="auto" w:sz="6" w:space="0"/>
              <w:bottom w:val="single" w:color="auto" w:sz="6" w:space="0"/>
              <w:right w:val="single" w:color="auto" w:sz="6" w:space="0"/>
            </w:tcBorders>
            <w:vAlign w:val="center"/>
          </w:tcPr>
          <w:p w14:paraId="666F2758">
            <w:pPr>
              <w:autoSpaceDE w:val="0"/>
              <w:autoSpaceDN w:val="0"/>
              <w:adjustRightInd w:val="0"/>
              <w:spacing w:line="480" w:lineRule="exact"/>
              <w:jc w:val="center"/>
              <w:rPr>
                <w:rFonts w:ascii="宋体" w:hAnsi="宋体" w:cs="宋体"/>
                <w:color w:val="auto"/>
              </w:rPr>
            </w:pPr>
          </w:p>
        </w:tc>
        <w:tc>
          <w:tcPr>
            <w:tcW w:w="2116" w:type="dxa"/>
            <w:tcBorders>
              <w:top w:val="single" w:color="auto" w:sz="6" w:space="0"/>
              <w:left w:val="single" w:color="auto" w:sz="6" w:space="0"/>
              <w:bottom w:val="single" w:color="auto" w:sz="6" w:space="0"/>
              <w:right w:val="single" w:color="auto" w:sz="6" w:space="0"/>
            </w:tcBorders>
            <w:vAlign w:val="center"/>
          </w:tcPr>
          <w:p w14:paraId="66465AEB">
            <w:pPr>
              <w:autoSpaceDE w:val="0"/>
              <w:autoSpaceDN w:val="0"/>
              <w:adjustRightInd w:val="0"/>
              <w:spacing w:line="480" w:lineRule="exact"/>
              <w:jc w:val="center"/>
              <w:rPr>
                <w:rFonts w:ascii="宋体" w:hAnsi="宋体" w:cs="宋体"/>
                <w:color w:val="auto"/>
              </w:rPr>
            </w:pPr>
          </w:p>
        </w:tc>
        <w:tc>
          <w:tcPr>
            <w:tcW w:w="2294" w:type="dxa"/>
            <w:tcBorders>
              <w:top w:val="single" w:color="auto" w:sz="6" w:space="0"/>
              <w:left w:val="single" w:color="auto" w:sz="6" w:space="0"/>
              <w:bottom w:val="single" w:color="auto" w:sz="6" w:space="0"/>
              <w:right w:val="single" w:color="auto" w:sz="12" w:space="0"/>
            </w:tcBorders>
            <w:vAlign w:val="center"/>
          </w:tcPr>
          <w:p w14:paraId="12929EE8">
            <w:pPr>
              <w:autoSpaceDE w:val="0"/>
              <w:autoSpaceDN w:val="0"/>
              <w:adjustRightInd w:val="0"/>
              <w:spacing w:line="480" w:lineRule="exact"/>
              <w:jc w:val="center"/>
              <w:rPr>
                <w:rFonts w:ascii="宋体" w:hAnsi="宋体" w:cs="宋体"/>
                <w:color w:val="auto"/>
              </w:rPr>
            </w:pPr>
          </w:p>
        </w:tc>
      </w:tr>
      <w:tr w14:paraId="111CBE40">
        <w:tblPrEx>
          <w:tblCellMar>
            <w:top w:w="0" w:type="dxa"/>
            <w:left w:w="30" w:type="dxa"/>
            <w:bottom w:w="0" w:type="dxa"/>
            <w:right w:w="30" w:type="dxa"/>
          </w:tblCellMar>
        </w:tblPrEx>
        <w:trPr>
          <w:cantSplit/>
          <w:trHeight w:val="440" w:hRule="exact"/>
          <w:jc w:val="center"/>
        </w:trPr>
        <w:tc>
          <w:tcPr>
            <w:tcW w:w="1080" w:type="dxa"/>
            <w:tcBorders>
              <w:top w:val="single" w:color="auto" w:sz="6" w:space="0"/>
              <w:left w:val="single" w:color="auto" w:sz="12" w:space="0"/>
              <w:bottom w:val="single" w:color="auto" w:sz="6" w:space="0"/>
              <w:right w:val="single" w:color="auto" w:sz="6" w:space="0"/>
            </w:tcBorders>
            <w:vAlign w:val="center"/>
          </w:tcPr>
          <w:p w14:paraId="6335727D">
            <w:pPr>
              <w:autoSpaceDE w:val="0"/>
              <w:autoSpaceDN w:val="0"/>
              <w:adjustRightInd w:val="0"/>
              <w:spacing w:line="480" w:lineRule="exact"/>
              <w:jc w:val="center"/>
              <w:rPr>
                <w:rFonts w:ascii="宋体" w:hAnsi="宋体" w:cs="宋体"/>
                <w:color w:val="auto"/>
              </w:rPr>
            </w:pPr>
          </w:p>
        </w:tc>
        <w:tc>
          <w:tcPr>
            <w:tcW w:w="950" w:type="dxa"/>
            <w:tcBorders>
              <w:top w:val="single" w:color="auto" w:sz="6" w:space="0"/>
              <w:left w:val="single" w:color="auto" w:sz="6" w:space="0"/>
              <w:bottom w:val="single" w:color="auto" w:sz="6" w:space="0"/>
              <w:right w:val="single" w:color="auto" w:sz="6" w:space="0"/>
            </w:tcBorders>
            <w:vAlign w:val="center"/>
          </w:tcPr>
          <w:p w14:paraId="071F7DCB">
            <w:pPr>
              <w:autoSpaceDE w:val="0"/>
              <w:autoSpaceDN w:val="0"/>
              <w:adjustRightInd w:val="0"/>
              <w:spacing w:line="480" w:lineRule="exact"/>
              <w:jc w:val="center"/>
              <w:rPr>
                <w:rFonts w:ascii="宋体" w:hAnsi="宋体" w:cs="宋体"/>
                <w:color w:val="auto"/>
              </w:rPr>
            </w:pPr>
          </w:p>
        </w:tc>
        <w:tc>
          <w:tcPr>
            <w:tcW w:w="2830" w:type="dxa"/>
            <w:tcBorders>
              <w:top w:val="single" w:color="auto" w:sz="6" w:space="0"/>
              <w:left w:val="single" w:color="auto" w:sz="6" w:space="0"/>
              <w:bottom w:val="single" w:color="auto" w:sz="6" w:space="0"/>
              <w:right w:val="single" w:color="auto" w:sz="6" w:space="0"/>
            </w:tcBorders>
            <w:vAlign w:val="center"/>
          </w:tcPr>
          <w:p w14:paraId="4B83626B">
            <w:pPr>
              <w:autoSpaceDE w:val="0"/>
              <w:autoSpaceDN w:val="0"/>
              <w:adjustRightInd w:val="0"/>
              <w:spacing w:line="480" w:lineRule="exact"/>
              <w:jc w:val="center"/>
              <w:rPr>
                <w:rFonts w:ascii="宋体" w:hAnsi="宋体" w:cs="宋体"/>
                <w:color w:val="auto"/>
              </w:rPr>
            </w:pPr>
          </w:p>
        </w:tc>
        <w:tc>
          <w:tcPr>
            <w:tcW w:w="2116" w:type="dxa"/>
            <w:tcBorders>
              <w:top w:val="single" w:color="auto" w:sz="6" w:space="0"/>
              <w:left w:val="single" w:color="auto" w:sz="6" w:space="0"/>
              <w:bottom w:val="single" w:color="auto" w:sz="6" w:space="0"/>
              <w:right w:val="single" w:color="auto" w:sz="6" w:space="0"/>
            </w:tcBorders>
            <w:vAlign w:val="center"/>
          </w:tcPr>
          <w:p w14:paraId="7E419CA3">
            <w:pPr>
              <w:autoSpaceDE w:val="0"/>
              <w:autoSpaceDN w:val="0"/>
              <w:adjustRightInd w:val="0"/>
              <w:spacing w:line="480" w:lineRule="exact"/>
              <w:jc w:val="center"/>
              <w:rPr>
                <w:rFonts w:ascii="宋体" w:hAnsi="宋体" w:cs="宋体"/>
                <w:color w:val="auto"/>
              </w:rPr>
            </w:pPr>
          </w:p>
        </w:tc>
        <w:tc>
          <w:tcPr>
            <w:tcW w:w="2294" w:type="dxa"/>
            <w:tcBorders>
              <w:top w:val="single" w:color="auto" w:sz="6" w:space="0"/>
              <w:left w:val="single" w:color="auto" w:sz="6" w:space="0"/>
              <w:bottom w:val="single" w:color="auto" w:sz="6" w:space="0"/>
              <w:right w:val="single" w:color="auto" w:sz="12" w:space="0"/>
            </w:tcBorders>
            <w:vAlign w:val="center"/>
          </w:tcPr>
          <w:p w14:paraId="28E79875">
            <w:pPr>
              <w:autoSpaceDE w:val="0"/>
              <w:autoSpaceDN w:val="0"/>
              <w:adjustRightInd w:val="0"/>
              <w:spacing w:line="480" w:lineRule="exact"/>
              <w:jc w:val="center"/>
              <w:rPr>
                <w:rFonts w:ascii="宋体" w:hAnsi="宋体" w:cs="宋体"/>
                <w:color w:val="auto"/>
              </w:rPr>
            </w:pPr>
          </w:p>
        </w:tc>
      </w:tr>
      <w:tr w14:paraId="69994B3D">
        <w:tblPrEx>
          <w:tblCellMar>
            <w:top w:w="0" w:type="dxa"/>
            <w:left w:w="30" w:type="dxa"/>
            <w:bottom w:w="0" w:type="dxa"/>
            <w:right w:w="30" w:type="dxa"/>
          </w:tblCellMar>
        </w:tblPrEx>
        <w:trPr>
          <w:cantSplit/>
          <w:trHeight w:val="440" w:hRule="exact"/>
          <w:jc w:val="center"/>
        </w:trPr>
        <w:tc>
          <w:tcPr>
            <w:tcW w:w="1080" w:type="dxa"/>
            <w:tcBorders>
              <w:top w:val="single" w:color="auto" w:sz="6" w:space="0"/>
              <w:left w:val="single" w:color="auto" w:sz="12" w:space="0"/>
              <w:bottom w:val="single" w:color="auto" w:sz="6" w:space="0"/>
              <w:right w:val="single" w:color="auto" w:sz="6" w:space="0"/>
            </w:tcBorders>
            <w:vAlign w:val="center"/>
          </w:tcPr>
          <w:p w14:paraId="374EA431">
            <w:pPr>
              <w:autoSpaceDE w:val="0"/>
              <w:autoSpaceDN w:val="0"/>
              <w:adjustRightInd w:val="0"/>
              <w:spacing w:line="480" w:lineRule="exact"/>
              <w:jc w:val="center"/>
              <w:rPr>
                <w:rFonts w:ascii="宋体" w:hAnsi="宋体" w:cs="宋体"/>
                <w:color w:val="auto"/>
              </w:rPr>
            </w:pPr>
          </w:p>
        </w:tc>
        <w:tc>
          <w:tcPr>
            <w:tcW w:w="950" w:type="dxa"/>
            <w:tcBorders>
              <w:top w:val="single" w:color="auto" w:sz="6" w:space="0"/>
              <w:left w:val="single" w:color="auto" w:sz="6" w:space="0"/>
              <w:bottom w:val="single" w:color="auto" w:sz="6" w:space="0"/>
              <w:right w:val="single" w:color="auto" w:sz="6" w:space="0"/>
            </w:tcBorders>
            <w:vAlign w:val="center"/>
          </w:tcPr>
          <w:p w14:paraId="2E694718">
            <w:pPr>
              <w:autoSpaceDE w:val="0"/>
              <w:autoSpaceDN w:val="0"/>
              <w:adjustRightInd w:val="0"/>
              <w:spacing w:line="480" w:lineRule="exact"/>
              <w:jc w:val="center"/>
              <w:rPr>
                <w:rFonts w:ascii="宋体" w:hAnsi="宋体" w:cs="宋体"/>
                <w:color w:val="auto"/>
              </w:rPr>
            </w:pPr>
          </w:p>
        </w:tc>
        <w:tc>
          <w:tcPr>
            <w:tcW w:w="2830" w:type="dxa"/>
            <w:tcBorders>
              <w:top w:val="single" w:color="auto" w:sz="6" w:space="0"/>
              <w:left w:val="single" w:color="auto" w:sz="6" w:space="0"/>
              <w:bottom w:val="single" w:color="auto" w:sz="6" w:space="0"/>
              <w:right w:val="single" w:color="auto" w:sz="6" w:space="0"/>
            </w:tcBorders>
            <w:vAlign w:val="center"/>
          </w:tcPr>
          <w:p w14:paraId="56E2C665">
            <w:pPr>
              <w:autoSpaceDE w:val="0"/>
              <w:autoSpaceDN w:val="0"/>
              <w:adjustRightInd w:val="0"/>
              <w:spacing w:line="480" w:lineRule="exact"/>
              <w:jc w:val="center"/>
              <w:rPr>
                <w:rFonts w:ascii="宋体" w:hAnsi="宋体" w:cs="宋体"/>
                <w:color w:val="auto"/>
              </w:rPr>
            </w:pPr>
          </w:p>
        </w:tc>
        <w:tc>
          <w:tcPr>
            <w:tcW w:w="2116" w:type="dxa"/>
            <w:tcBorders>
              <w:top w:val="single" w:color="auto" w:sz="6" w:space="0"/>
              <w:left w:val="single" w:color="auto" w:sz="6" w:space="0"/>
              <w:bottom w:val="single" w:color="auto" w:sz="6" w:space="0"/>
              <w:right w:val="single" w:color="auto" w:sz="6" w:space="0"/>
            </w:tcBorders>
            <w:vAlign w:val="center"/>
          </w:tcPr>
          <w:p w14:paraId="17068090">
            <w:pPr>
              <w:autoSpaceDE w:val="0"/>
              <w:autoSpaceDN w:val="0"/>
              <w:adjustRightInd w:val="0"/>
              <w:spacing w:line="480" w:lineRule="exact"/>
              <w:jc w:val="center"/>
              <w:rPr>
                <w:rFonts w:ascii="宋体" w:hAnsi="宋体" w:cs="宋体"/>
                <w:color w:val="auto"/>
              </w:rPr>
            </w:pPr>
          </w:p>
        </w:tc>
        <w:tc>
          <w:tcPr>
            <w:tcW w:w="2294" w:type="dxa"/>
            <w:tcBorders>
              <w:top w:val="single" w:color="auto" w:sz="6" w:space="0"/>
              <w:left w:val="single" w:color="auto" w:sz="6" w:space="0"/>
              <w:bottom w:val="single" w:color="auto" w:sz="6" w:space="0"/>
              <w:right w:val="single" w:color="auto" w:sz="12" w:space="0"/>
            </w:tcBorders>
            <w:vAlign w:val="center"/>
          </w:tcPr>
          <w:p w14:paraId="21419F9B">
            <w:pPr>
              <w:autoSpaceDE w:val="0"/>
              <w:autoSpaceDN w:val="0"/>
              <w:adjustRightInd w:val="0"/>
              <w:spacing w:line="480" w:lineRule="exact"/>
              <w:jc w:val="center"/>
              <w:rPr>
                <w:rFonts w:ascii="宋体" w:hAnsi="宋体" w:cs="宋体"/>
                <w:color w:val="auto"/>
              </w:rPr>
            </w:pPr>
          </w:p>
        </w:tc>
      </w:tr>
      <w:tr w14:paraId="7C8462E4">
        <w:tblPrEx>
          <w:tblCellMar>
            <w:top w:w="0" w:type="dxa"/>
            <w:left w:w="30" w:type="dxa"/>
            <w:bottom w:w="0" w:type="dxa"/>
            <w:right w:w="30" w:type="dxa"/>
          </w:tblCellMar>
        </w:tblPrEx>
        <w:trPr>
          <w:cantSplit/>
          <w:trHeight w:val="440" w:hRule="exact"/>
          <w:jc w:val="center"/>
        </w:trPr>
        <w:tc>
          <w:tcPr>
            <w:tcW w:w="1080" w:type="dxa"/>
            <w:tcBorders>
              <w:top w:val="single" w:color="auto" w:sz="6" w:space="0"/>
              <w:left w:val="single" w:color="auto" w:sz="12" w:space="0"/>
              <w:bottom w:val="single" w:color="auto" w:sz="6" w:space="0"/>
              <w:right w:val="single" w:color="auto" w:sz="6" w:space="0"/>
            </w:tcBorders>
            <w:vAlign w:val="center"/>
          </w:tcPr>
          <w:p w14:paraId="606E86FC">
            <w:pPr>
              <w:autoSpaceDE w:val="0"/>
              <w:autoSpaceDN w:val="0"/>
              <w:adjustRightInd w:val="0"/>
              <w:spacing w:line="480" w:lineRule="exact"/>
              <w:jc w:val="center"/>
              <w:rPr>
                <w:rFonts w:ascii="宋体" w:hAnsi="宋体" w:cs="宋体"/>
                <w:color w:val="auto"/>
              </w:rPr>
            </w:pPr>
          </w:p>
        </w:tc>
        <w:tc>
          <w:tcPr>
            <w:tcW w:w="950" w:type="dxa"/>
            <w:tcBorders>
              <w:top w:val="single" w:color="auto" w:sz="6" w:space="0"/>
              <w:left w:val="single" w:color="auto" w:sz="6" w:space="0"/>
              <w:bottom w:val="single" w:color="auto" w:sz="6" w:space="0"/>
              <w:right w:val="single" w:color="auto" w:sz="6" w:space="0"/>
            </w:tcBorders>
            <w:vAlign w:val="center"/>
          </w:tcPr>
          <w:p w14:paraId="51BBB4D1">
            <w:pPr>
              <w:autoSpaceDE w:val="0"/>
              <w:autoSpaceDN w:val="0"/>
              <w:adjustRightInd w:val="0"/>
              <w:spacing w:line="480" w:lineRule="exact"/>
              <w:jc w:val="center"/>
              <w:rPr>
                <w:rFonts w:ascii="宋体" w:hAnsi="宋体" w:cs="宋体"/>
                <w:color w:val="auto"/>
              </w:rPr>
            </w:pPr>
          </w:p>
        </w:tc>
        <w:tc>
          <w:tcPr>
            <w:tcW w:w="2830" w:type="dxa"/>
            <w:tcBorders>
              <w:top w:val="single" w:color="auto" w:sz="6" w:space="0"/>
              <w:left w:val="single" w:color="auto" w:sz="6" w:space="0"/>
              <w:bottom w:val="single" w:color="auto" w:sz="6" w:space="0"/>
              <w:right w:val="single" w:color="auto" w:sz="6" w:space="0"/>
            </w:tcBorders>
            <w:vAlign w:val="center"/>
          </w:tcPr>
          <w:p w14:paraId="7595A401">
            <w:pPr>
              <w:autoSpaceDE w:val="0"/>
              <w:autoSpaceDN w:val="0"/>
              <w:adjustRightInd w:val="0"/>
              <w:spacing w:line="480" w:lineRule="exact"/>
              <w:jc w:val="center"/>
              <w:rPr>
                <w:rFonts w:ascii="宋体" w:hAnsi="宋体" w:cs="宋体"/>
                <w:color w:val="auto"/>
              </w:rPr>
            </w:pPr>
          </w:p>
        </w:tc>
        <w:tc>
          <w:tcPr>
            <w:tcW w:w="2116" w:type="dxa"/>
            <w:tcBorders>
              <w:top w:val="single" w:color="auto" w:sz="6" w:space="0"/>
              <w:left w:val="single" w:color="auto" w:sz="6" w:space="0"/>
              <w:bottom w:val="single" w:color="auto" w:sz="6" w:space="0"/>
              <w:right w:val="single" w:color="auto" w:sz="6" w:space="0"/>
            </w:tcBorders>
            <w:vAlign w:val="center"/>
          </w:tcPr>
          <w:p w14:paraId="570BB0C7">
            <w:pPr>
              <w:autoSpaceDE w:val="0"/>
              <w:autoSpaceDN w:val="0"/>
              <w:adjustRightInd w:val="0"/>
              <w:spacing w:line="480" w:lineRule="exact"/>
              <w:jc w:val="center"/>
              <w:rPr>
                <w:rFonts w:ascii="宋体" w:hAnsi="宋体" w:cs="宋体"/>
                <w:color w:val="auto"/>
              </w:rPr>
            </w:pPr>
          </w:p>
        </w:tc>
        <w:tc>
          <w:tcPr>
            <w:tcW w:w="2294" w:type="dxa"/>
            <w:tcBorders>
              <w:top w:val="single" w:color="auto" w:sz="6" w:space="0"/>
              <w:left w:val="single" w:color="auto" w:sz="6" w:space="0"/>
              <w:bottom w:val="single" w:color="auto" w:sz="6" w:space="0"/>
              <w:right w:val="single" w:color="auto" w:sz="12" w:space="0"/>
            </w:tcBorders>
            <w:vAlign w:val="center"/>
          </w:tcPr>
          <w:p w14:paraId="185C352C">
            <w:pPr>
              <w:autoSpaceDE w:val="0"/>
              <w:autoSpaceDN w:val="0"/>
              <w:adjustRightInd w:val="0"/>
              <w:spacing w:line="480" w:lineRule="exact"/>
              <w:jc w:val="center"/>
              <w:rPr>
                <w:rFonts w:ascii="宋体" w:hAnsi="宋体" w:cs="宋体"/>
                <w:color w:val="auto"/>
              </w:rPr>
            </w:pPr>
          </w:p>
        </w:tc>
      </w:tr>
      <w:tr w14:paraId="5860C19D">
        <w:tblPrEx>
          <w:tblCellMar>
            <w:top w:w="0" w:type="dxa"/>
            <w:left w:w="30" w:type="dxa"/>
            <w:bottom w:w="0" w:type="dxa"/>
            <w:right w:w="30" w:type="dxa"/>
          </w:tblCellMar>
        </w:tblPrEx>
        <w:trPr>
          <w:cantSplit/>
          <w:trHeight w:val="440" w:hRule="exact"/>
          <w:jc w:val="center"/>
        </w:trPr>
        <w:tc>
          <w:tcPr>
            <w:tcW w:w="1080" w:type="dxa"/>
            <w:tcBorders>
              <w:top w:val="single" w:color="auto" w:sz="6" w:space="0"/>
              <w:left w:val="single" w:color="auto" w:sz="12" w:space="0"/>
              <w:bottom w:val="single" w:color="auto" w:sz="6" w:space="0"/>
              <w:right w:val="single" w:color="auto" w:sz="6" w:space="0"/>
            </w:tcBorders>
            <w:vAlign w:val="center"/>
          </w:tcPr>
          <w:p w14:paraId="2C844A70">
            <w:pPr>
              <w:autoSpaceDE w:val="0"/>
              <w:autoSpaceDN w:val="0"/>
              <w:adjustRightInd w:val="0"/>
              <w:spacing w:line="480" w:lineRule="exact"/>
              <w:jc w:val="center"/>
              <w:rPr>
                <w:rFonts w:ascii="宋体" w:hAnsi="宋体" w:cs="宋体"/>
                <w:color w:val="auto"/>
              </w:rPr>
            </w:pPr>
          </w:p>
        </w:tc>
        <w:tc>
          <w:tcPr>
            <w:tcW w:w="950" w:type="dxa"/>
            <w:tcBorders>
              <w:top w:val="single" w:color="auto" w:sz="6" w:space="0"/>
              <w:left w:val="single" w:color="auto" w:sz="6" w:space="0"/>
              <w:bottom w:val="single" w:color="auto" w:sz="6" w:space="0"/>
              <w:right w:val="single" w:color="auto" w:sz="6" w:space="0"/>
            </w:tcBorders>
            <w:vAlign w:val="center"/>
          </w:tcPr>
          <w:p w14:paraId="0C8E5B06">
            <w:pPr>
              <w:autoSpaceDE w:val="0"/>
              <w:autoSpaceDN w:val="0"/>
              <w:adjustRightInd w:val="0"/>
              <w:spacing w:line="480" w:lineRule="exact"/>
              <w:jc w:val="center"/>
              <w:rPr>
                <w:rFonts w:ascii="宋体" w:hAnsi="宋体" w:cs="宋体"/>
                <w:color w:val="auto"/>
              </w:rPr>
            </w:pPr>
          </w:p>
        </w:tc>
        <w:tc>
          <w:tcPr>
            <w:tcW w:w="2830" w:type="dxa"/>
            <w:tcBorders>
              <w:top w:val="single" w:color="auto" w:sz="6" w:space="0"/>
              <w:left w:val="single" w:color="auto" w:sz="6" w:space="0"/>
              <w:bottom w:val="single" w:color="auto" w:sz="6" w:space="0"/>
              <w:right w:val="single" w:color="auto" w:sz="6" w:space="0"/>
            </w:tcBorders>
            <w:vAlign w:val="center"/>
          </w:tcPr>
          <w:p w14:paraId="18D0E247">
            <w:pPr>
              <w:autoSpaceDE w:val="0"/>
              <w:autoSpaceDN w:val="0"/>
              <w:adjustRightInd w:val="0"/>
              <w:spacing w:line="480" w:lineRule="exact"/>
              <w:jc w:val="center"/>
              <w:rPr>
                <w:rFonts w:ascii="宋体" w:hAnsi="宋体" w:cs="宋体"/>
                <w:color w:val="auto"/>
              </w:rPr>
            </w:pPr>
          </w:p>
        </w:tc>
        <w:tc>
          <w:tcPr>
            <w:tcW w:w="2116" w:type="dxa"/>
            <w:tcBorders>
              <w:top w:val="single" w:color="auto" w:sz="6" w:space="0"/>
              <w:left w:val="single" w:color="auto" w:sz="6" w:space="0"/>
              <w:bottom w:val="single" w:color="auto" w:sz="6" w:space="0"/>
              <w:right w:val="single" w:color="auto" w:sz="6" w:space="0"/>
            </w:tcBorders>
            <w:vAlign w:val="center"/>
          </w:tcPr>
          <w:p w14:paraId="491AE08A">
            <w:pPr>
              <w:autoSpaceDE w:val="0"/>
              <w:autoSpaceDN w:val="0"/>
              <w:adjustRightInd w:val="0"/>
              <w:spacing w:line="480" w:lineRule="exact"/>
              <w:jc w:val="center"/>
              <w:rPr>
                <w:rFonts w:ascii="宋体" w:hAnsi="宋体" w:cs="宋体"/>
                <w:color w:val="auto"/>
              </w:rPr>
            </w:pPr>
          </w:p>
        </w:tc>
        <w:tc>
          <w:tcPr>
            <w:tcW w:w="2294" w:type="dxa"/>
            <w:tcBorders>
              <w:top w:val="single" w:color="auto" w:sz="6" w:space="0"/>
              <w:left w:val="single" w:color="auto" w:sz="6" w:space="0"/>
              <w:bottom w:val="single" w:color="auto" w:sz="6" w:space="0"/>
              <w:right w:val="single" w:color="auto" w:sz="12" w:space="0"/>
            </w:tcBorders>
            <w:vAlign w:val="center"/>
          </w:tcPr>
          <w:p w14:paraId="4371350A">
            <w:pPr>
              <w:autoSpaceDE w:val="0"/>
              <w:autoSpaceDN w:val="0"/>
              <w:adjustRightInd w:val="0"/>
              <w:spacing w:line="480" w:lineRule="exact"/>
              <w:jc w:val="center"/>
              <w:rPr>
                <w:rFonts w:ascii="宋体" w:hAnsi="宋体" w:cs="宋体"/>
                <w:color w:val="auto"/>
              </w:rPr>
            </w:pPr>
          </w:p>
        </w:tc>
      </w:tr>
      <w:tr w14:paraId="43E6DD92">
        <w:tblPrEx>
          <w:tblCellMar>
            <w:top w:w="0" w:type="dxa"/>
            <w:left w:w="30" w:type="dxa"/>
            <w:bottom w:w="0" w:type="dxa"/>
            <w:right w:w="30" w:type="dxa"/>
          </w:tblCellMar>
        </w:tblPrEx>
        <w:trPr>
          <w:cantSplit/>
          <w:trHeight w:val="440" w:hRule="exact"/>
          <w:jc w:val="center"/>
        </w:trPr>
        <w:tc>
          <w:tcPr>
            <w:tcW w:w="1080" w:type="dxa"/>
            <w:tcBorders>
              <w:top w:val="single" w:color="auto" w:sz="6" w:space="0"/>
              <w:left w:val="single" w:color="auto" w:sz="12" w:space="0"/>
              <w:bottom w:val="single" w:color="auto" w:sz="6" w:space="0"/>
              <w:right w:val="single" w:color="auto" w:sz="6" w:space="0"/>
            </w:tcBorders>
            <w:vAlign w:val="center"/>
          </w:tcPr>
          <w:p w14:paraId="67A75F2A">
            <w:pPr>
              <w:autoSpaceDE w:val="0"/>
              <w:autoSpaceDN w:val="0"/>
              <w:adjustRightInd w:val="0"/>
              <w:spacing w:line="480" w:lineRule="exact"/>
              <w:jc w:val="center"/>
              <w:rPr>
                <w:rFonts w:ascii="宋体" w:hAnsi="宋体" w:cs="宋体"/>
                <w:color w:val="auto"/>
              </w:rPr>
            </w:pPr>
          </w:p>
        </w:tc>
        <w:tc>
          <w:tcPr>
            <w:tcW w:w="950" w:type="dxa"/>
            <w:tcBorders>
              <w:top w:val="single" w:color="auto" w:sz="6" w:space="0"/>
              <w:left w:val="single" w:color="auto" w:sz="6" w:space="0"/>
              <w:bottom w:val="single" w:color="auto" w:sz="6" w:space="0"/>
              <w:right w:val="single" w:color="auto" w:sz="6" w:space="0"/>
            </w:tcBorders>
            <w:vAlign w:val="center"/>
          </w:tcPr>
          <w:p w14:paraId="5FFE9BFF">
            <w:pPr>
              <w:autoSpaceDE w:val="0"/>
              <w:autoSpaceDN w:val="0"/>
              <w:adjustRightInd w:val="0"/>
              <w:spacing w:line="480" w:lineRule="exact"/>
              <w:jc w:val="center"/>
              <w:rPr>
                <w:rFonts w:ascii="宋体" w:hAnsi="宋体" w:cs="宋体"/>
                <w:color w:val="auto"/>
              </w:rPr>
            </w:pPr>
          </w:p>
        </w:tc>
        <w:tc>
          <w:tcPr>
            <w:tcW w:w="2830" w:type="dxa"/>
            <w:tcBorders>
              <w:top w:val="single" w:color="auto" w:sz="6" w:space="0"/>
              <w:left w:val="single" w:color="auto" w:sz="6" w:space="0"/>
              <w:bottom w:val="single" w:color="auto" w:sz="6" w:space="0"/>
              <w:right w:val="single" w:color="auto" w:sz="6" w:space="0"/>
            </w:tcBorders>
            <w:vAlign w:val="center"/>
          </w:tcPr>
          <w:p w14:paraId="0D452B9F">
            <w:pPr>
              <w:autoSpaceDE w:val="0"/>
              <w:autoSpaceDN w:val="0"/>
              <w:adjustRightInd w:val="0"/>
              <w:spacing w:line="480" w:lineRule="exact"/>
              <w:jc w:val="center"/>
              <w:rPr>
                <w:rFonts w:ascii="宋体" w:hAnsi="宋体" w:cs="宋体"/>
                <w:color w:val="auto"/>
              </w:rPr>
            </w:pPr>
          </w:p>
        </w:tc>
        <w:tc>
          <w:tcPr>
            <w:tcW w:w="2116" w:type="dxa"/>
            <w:tcBorders>
              <w:top w:val="single" w:color="auto" w:sz="6" w:space="0"/>
              <w:left w:val="single" w:color="auto" w:sz="6" w:space="0"/>
              <w:bottom w:val="single" w:color="auto" w:sz="6" w:space="0"/>
              <w:right w:val="single" w:color="auto" w:sz="6" w:space="0"/>
            </w:tcBorders>
            <w:vAlign w:val="center"/>
          </w:tcPr>
          <w:p w14:paraId="4497B21E">
            <w:pPr>
              <w:autoSpaceDE w:val="0"/>
              <w:autoSpaceDN w:val="0"/>
              <w:adjustRightInd w:val="0"/>
              <w:spacing w:line="480" w:lineRule="exact"/>
              <w:jc w:val="center"/>
              <w:rPr>
                <w:rFonts w:ascii="宋体" w:hAnsi="宋体" w:cs="宋体"/>
                <w:color w:val="auto"/>
              </w:rPr>
            </w:pPr>
          </w:p>
        </w:tc>
        <w:tc>
          <w:tcPr>
            <w:tcW w:w="2294" w:type="dxa"/>
            <w:tcBorders>
              <w:top w:val="single" w:color="auto" w:sz="6" w:space="0"/>
              <w:left w:val="single" w:color="auto" w:sz="6" w:space="0"/>
              <w:bottom w:val="single" w:color="auto" w:sz="6" w:space="0"/>
              <w:right w:val="single" w:color="auto" w:sz="12" w:space="0"/>
            </w:tcBorders>
            <w:vAlign w:val="center"/>
          </w:tcPr>
          <w:p w14:paraId="35FA0D17">
            <w:pPr>
              <w:autoSpaceDE w:val="0"/>
              <w:autoSpaceDN w:val="0"/>
              <w:adjustRightInd w:val="0"/>
              <w:spacing w:line="480" w:lineRule="exact"/>
              <w:jc w:val="center"/>
              <w:rPr>
                <w:rFonts w:ascii="宋体" w:hAnsi="宋体" w:cs="宋体"/>
                <w:color w:val="auto"/>
              </w:rPr>
            </w:pPr>
          </w:p>
        </w:tc>
      </w:tr>
      <w:tr w14:paraId="7A1EA79C">
        <w:tblPrEx>
          <w:tblCellMar>
            <w:top w:w="0" w:type="dxa"/>
            <w:left w:w="30" w:type="dxa"/>
            <w:bottom w:w="0" w:type="dxa"/>
            <w:right w:w="30" w:type="dxa"/>
          </w:tblCellMar>
        </w:tblPrEx>
        <w:trPr>
          <w:cantSplit/>
          <w:trHeight w:val="440" w:hRule="exact"/>
          <w:jc w:val="center"/>
        </w:trPr>
        <w:tc>
          <w:tcPr>
            <w:tcW w:w="1080" w:type="dxa"/>
            <w:tcBorders>
              <w:top w:val="single" w:color="auto" w:sz="6" w:space="0"/>
              <w:left w:val="single" w:color="auto" w:sz="12" w:space="0"/>
              <w:bottom w:val="single" w:color="auto" w:sz="12" w:space="0"/>
              <w:right w:val="single" w:color="auto" w:sz="6" w:space="0"/>
            </w:tcBorders>
            <w:vAlign w:val="center"/>
          </w:tcPr>
          <w:p w14:paraId="3B6FAA56">
            <w:pPr>
              <w:autoSpaceDE w:val="0"/>
              <w:autoSpaceDN w:val="0"/>
              <w:adjustRightInd w:val="0"/>
              <w:spacing w:line="480" w:lineRule="exact"/>
              <w:jc w:val="center"/>
              <w:rPr>
                <w:rFonts w:ascii="宋体" w:hAnsi="宋体" w:cs="宋体"/>
                <w:color w:val="auto"/>
              </w:rPr>
            </w:pPr>
          </w:p>
        </w:tc>
        <w:tc>
          <w:tcPr>
            <w:tcW w:w="950" w:type="dxa"/>
            <w:tcBorders>
              <w:top w:val="single" w:color="auto" w:sz="6" w:space="0"/>
              <w:left w:val="single" w:color="auto" w:sz="6" w:space="0"/>
              <w:bottom w:val="single" w:color="auto" w:sz="12" w:space="0"/>
              <w:right w:val="single" w:color="auto" w:sz="6" w:space="0"/>
            </w:tcBorders>
            <w:vAlign w:val="center"/>
          </w:tcPr>
          <w:p w14:paraId="4FB2C912">
            <w:pPr>
              <w:autoSpaceDE w:val="0"/>
              <w:autoSpaceDN w:val="0"/>
              <w:adjustRightInd w:val="0"/>
              <w:spacing w:line="480" w:lineRule="exact"/>
              <w:jc w:val="center"/>
              <w:rPr>
                <w:rFonts w:ascii="宋体" w:hAnsi="宋体" w:cs="宋体"/>
                <w:color w:val="auto"/>
              </w:rPr>
            </w:pPr>
          </w:p>
        </w:tc>
        <w:tc>
          <w:tcPr>
            <w:tcW w:w="2830" w:type="dxa"/>
            <w:tcBorders>
              <w:top w:val="single" w:color="auto" w:sz="6" w:space="0"/>
              <w:left w:val="single" w:color="auto" w:sz="6" w:space="0"/>
              <w:bottom w:val="single" w:color="auto" w:sz="12" w:space="0"/>
              <w:right w:val="single" w:color="auto" w:sz="6" w:space="0"/>
            </w:tcBorders>
            <w:vAlign w:val="center"/>
          </w:tcPr>
          <w:p w14:paraId="0862C5EE">
            <w:pPr>
              <w:autoSpaceDE w:val="0"/>
              <w:autoSpaceDN w:val="0"/>
              <w:adjustRightInd w:val="0"/>
              <w:spacing w:line="480" w:lineRule="exact"/>
              <w:jc w:val="center"/>
              <w:rPr>
                <w:rFonts w:ascii="宋体" w:hAnsi="宋体" w:cs="宋体"/>
                <w:color w:val="auto"/>
              </w:rPr>
            </w:pPr>
          </w:p>
        </w:tc>
        <w:tc>
          <w:tcPr>
            <w:tcW w:w="2116" w:type="dxa"/>
            <w:tcBorders>
              <w:top w:val="single" w:color="auto" w:sz="6" w:space="0"/>
              <w:left w:val="single" w:color="auto" w:sz="6" w:space="0"/>
              <w:bottom w:val="single" w:color="auto" w:sz="12" w:space="0"/>
              <w:right w:val="single" w:color="auto" w:sz="6" w:space="0"/>
            </w:tcBorders>
            <w:vAlign w:val="center"/>
          </w:tcPr>
          <w:p w14:paraId="44BEE046">
            <w:pPr>
              <w:autoSpaceDE w:val="0"/>
              <w:autoSpaceDN w:val="0"/>
              <w:adjustRightInd w:val="0"/>
              <w:spacing w:line="480" w:lineRule="exact"/>
              <w:jc w:val="center"/>
              <w:outlineLvl w:val="0"/>
              <w:rPr>
                <w:rFonts w:ascii="宋体" w:hAnsi="宋体" w:cs="宋体"/>
                <w:color w:val="auto"/>
              </w:rPr>
            </w:pPr>
          </w:p>
        </w:tc>
        <w:tc>
          <w:tcPr>
            <w:tcW w:w="2294" w:type="dxa"/>
            <w:tcBorders>
              <w:top w:val="single" w:color="auto" w:sz="6" w:space="0"/>
              <w:left w:val="single" w:color="auto" w:sz="6" w:space="0"/>
              <w:bottom w:val="single" w:color="auto" w:sz="12" w:space="0"/>
              <w:right w:val="single" w:color="auto" w:sz="12" w:space="0"/>
            </w:tcBorders>
            <w:vAlign w:val="center"/>
          </w:tcPr>
          <w:p w14:paraId="7823EE42">
            <w:pPr>
              <w:autoSpaceDE w:val="0"/>
              <w:autoSpaceDN w:val="0"/>
              <w:adjustRightInd w:val="0"/>
              <w:spacing w:line="480" w:lineRule="exact"/>
              <w:jc w:val="center"/>
              <w:rPr>
                <w:rFonts w:ascii="宋体" w:hAnsi="宋体" w:cs="宋体"/>
                <w:color w:val="auto"/>
              </w:rPr>
            </w:pPr>
          </w:p>
        </w:tc>
      </w:tr>
    </w:tbl>
    <w:p w14:paraId="1A40E2E1">
      <w:pPr>
        <w:spacing w:line="480" w:lineRule="exact"/>
        <w:ind w:left="515" w:hanging="515"/>
        <w:rPr>
          <w:rFonts w:ascii="宋体" w:hAnsi="宋体" w:cs="宋体"/>
          <w:color w:val="auto"/>
        </w:rPr>
      </w:pPr>
    </w:p>
    <w:p w14:paraId="438E5B3E">
      <w:pPr>
        <w:spacing w:line="480" w:lineRule="exact"/>
        <w:rPr>
          <w:rFonts w:ascii="宋体" w:hAnsi="宋体" w:cs="宋体"/>
          <w:color w:val="auto"/>
        </w:rPr>
      </w:pPr>
    </w:p>
    <w:p w14:paraId="01DE3C8F">
      <w:pPr>
        <w:adjustRightInd w:val="0"/>
        <w:snapToGrid w:val="0"/>
        <w:spacing w:line="360" w:lineRule="auto"/>
        <w:rPr>
          <w:rFonts w:ascii="宋体" w:hAnsi="宋体" w:cs="宋体"/>
          <w:color w:val="auto"/>
          <w:szCs w:val="21"/>
          <w:u w:val="single"/>
        </w:rPr>
      </w:pPr>
      <w:r>
        <w:rPr>
          <w:rFonts w:hint="eastAsia" w:ascii="宋体" w:hAnsi="宋体" w:cs="宋体"/>
          <w:color w:val="auto"/>
          <w:szCs w:val="21"/>
        </w:rPr>
        <w:t>供应商名称（盖章）：</w:t>
      </w:r>
    </w:p>
    <w:p w14:paraId="7D7484F6">
      <w:pPr>
        <w:adjustRightInd w:val="0"/>
        <w:snapToGrid w:val="0"/>
        <w:spacing w:line="360" w:lineRule="auto"/>
        <w:rPr>
          <w:rFonts w:ascii="宋体" w:hAnsi="宋体" w:cs="宋体"/>
          <w:color w:val="auto"/>
          <w:szCs w:val="21"/>
        </w:rPr>
      </w:pPr>
      <w:r>
        <w:rPr>
          <w:rFonts w:hint="eastAsia" w:ascii="宋体" w:hAnsi="宋体" w:cs="宋体"/>
          <w:color w:val="auto"/>
          <w:szCs w:val="21"/>
        </w:rPr>
        <w:t>日期：   年   月   日</w:t>
      </w:r>
    </w:p>
    <w:p w14:paraId="374295E4">
      <w:pPr>
        <w:pStyle w:val="231"/>
        <w:ind w:firstLine="480"/>
        <w:jc w:val="center"/>
        <w:outlineLvl w:val="3"/>
        <w:rPr>
          <w:color w:val="auto"/>
          <w:sz w:val="21"/>
          <w:szCs w:val="21"/>
        </w:rPr>
      </w:pPr>
      <w:r>
        <w:rPr>
          <w:rFonts w:hint="eastAsia" w:ascii="宋体" w:hAnsi="宋体" w:cs="宋体"/>
          <w:b/>
          <w:color w:val="auto"/>
          <w:sz w:val="36"/>
          <w:szCs w:val="21"/>
          <w:lang w:val="en-US" w:eastAsia="zh-CN"/>
        </w:rPr>
        <w:t>3、</w:t>
      </w:r>
      <w:r>
        <w:rPr>
          <w:b/>
          <w:color w:val="auto"/>
          <w:sz w:val="28"/>
          <w:szCs w:val="21"/>
        </w:rPr>
        <w:t>各类证明材料</w:t>
      </w:r>
    </w:p>
    <w:p w14:paraId="13EE0629">
      <w:pPr>
        <w:pStyle w:val="231"/>
        <w:ind w:firstLine="480"/>
        <w:rPr>
          <w:color w:val="auto"/>
          <w:sz w:val="21"/>
          <w:szCs w:val="21"/>
        </w:rPr>
      </w:pPr>
      <w:r>
        <w:rPr>
          <w:color w:val="auto"/>
          <w:sz w:val="21"/>
          <w:szCs w:val="21"/>
        </w:rPr>
        <w:t>1.</w:t>
      </w:r>
      <w:r>
        <w:rPr>
          <w:rFonts w:hint="eastAsia"/>
          <w:color w:val="auto"/>
          <w:sz w:val="21"/>
          <w:szCs w:val="21"/>
          <w:lang w:val="en-US" w:eastAsia="zh-CN"/>
        </w:rPr>
        <w:t>采购</w:t>
      </w:r>
      <w:r>
        <w:rPr>
          <w:color w:val="auto"/>
          <w:sz w:val="21"/>
          <w:szCs w:val="21"/>
        </w:rPr>
        <w:t>文件要求提供的其他资料。</w:t>
      </w:r>
    </w:p>
    <w:p w14:paraId="650ECCBA">
      <w:pPr>
        <w:pStyle w:val="231"/>
        <w:ind w:firstLine="480"/>
        <w:rPr>
          <w:color w:val="auto"/>
          <w:sz w:val="21"/>
          <w:szCs w:val="21"/>
        </w:rPr>
      </w:pPr>
      <w:r>
        <w:rPr>
          <w:color w:val="auto"/>
          <w:sz w:val="21"/>
          <w:szCs w:val="21"/>
        </w:rPr>
        <w:t>2.</w:t>
      </w:r>
      <w:r>
        <w:rPr>
          <w:rFonts w:hint="eastAsia"/>
          <w:color w:val="auto"/>
          <w:sz w:val="21"/>
          <w:szCs w:val="21"/>
          <w:lang w:val="en-US" w:eastAsia="zh-CN"/>
        </w:rPr>
        <w:t>供应商</w:t>
      </w:r>
      <w:r>
        <w:rPr>
          <w:color w:val="auto"/>
          <w:sz w:val="21"/>
          <w:szCs w:val="21"/>
        </w:rPr>
        <w:t>认为需提供的其他资料。</w:t>
      </w:r>
    </w:p>
    <w:p w14:paraId="679CA97F">
      <w:pPr>
        <w:spacing w:line="480" w:lineRule="exact"/>
        <w:jc w:val="center"/>
        <w:rPr>
          <w:rFonts w:hint="eastAsia" w:ascii="宋体" w:hAnsi="宋体" w:eastAsia="宋体" w:cs="宋体"/>
          <w:b/>
          <w:color w:val="auto"/>
          <w:sz w:val="32"/>
          <w:lang w:val="en-US" w:eastAsia="zh-CN"/>
        </w:rPr>
      </w:pPr>
    </w:p>
    <w:bookmarkEnd w:id="429"/>
    <w:bookmarkEnd w:id="430"/>
    <w:bookmarkEnd w:id="431"/>
    <w:bookmarkEnd w:id="432"/>
    <w:bookmarkEnd w:id="433"/>
    <w:bookmarkEnd w:id="434"/>
    <w:p w14:paraId="456868FA">
      <w:pPr>
        <w:rPr>
          <w:rFonts w:ascii="宋体" w:hAnsi="宋体" w:cs="宋体"/>
          <w:b/>
          <w:color w:val="auto"/>
          <w:sz w:val="28"/>
          <w:szCs w:val="28"/>
        </w:rPr>
      </w:pPr>
      <w:bookmarkStart w:id="479" w:name="_Toc453695699"/>
      <w:bookmarkStart w:id="480" w:name="_Toc461991263"/>
      <w:bookmarkStart w:id="481" w:name="_Toc338083276"/>
      <w:bookmarkStart w:id="482" w:name="_Toc453695572"/>
      <w:bookmarkStart w:id="483" w:name="_Toc238275010"/>
      <w:r>
        <w:rPr>
          <w:rFonts w:hint="eastAsia" w:ascii="宋体" w:hAnsi="宋体" w:cs="宋体"/>
          <w:b/>
          <w:color w:val="auto"/>
          <w:sz w:val="28"/>
          <w:szCs w:val="28"/>
        </w:rPr>
        <w:br w:type="page"/>
      </w:r>
    </w:p>
    <w:p w14:paraId="42C76FF1">
      <w:pPr>
        <w:spacing w:after="120" w:line="300" w:lineRule="auto"/>
        <w:jc w:val="center"/>
        <w:rPr>
          <w:rFonts w:ascii="宋体" w:hAnsi="宋体" w:cs="宋体"/>
          <w:b/>
          <w:color w:val="auto"/>
          <w:sz w:val="28"/>
          <w:szCs w:val="28"/>
        </w:rPr>
      </w:pPr>
      <w:r>
        <w:rPr>
          <w:rFonts w:hint="eastAsia" w:ascii="宋体" w:hAnsi="宋体" w:cs="宋体"/>
          <w:b/>
          <w:color w:val="auto"/>
          <w:sz w:val="28"/>
          <w:szCs w:val="28"/>
          <w:lang w:val="en-US" w:eastAsia="zh-CN"/>
        </w:rPr>
        <w:t>4</w:t>
      </w:r>
      <w:r>
        <w:rPr>
          <w:rFonts w:hint="eastAsia" w:ascii="宋体" w:hAnsi="宋体" w:cs="宋体"/>
          <w:b/>
          <w:color w:val="auto"/>
          <w:sz w:val="28"/>
          <w:szCs w:val="28"/>
        </w:rPr>
        <w:t>、缴纳招标服务费承诺书</w:t>
      </w:r>
      <w:bookmarkEnd w:id="479"/>
      <w:bookmarkEnd w:id="480"/>
      <w:bookmarkEnd w:id="481"/>
      <w:bookmarkEnd w:id="482"/>
      <w:bookmarkEnd w:id="483"/>
    </w:p>
    <w:p w14:paraId="725212E3">
      <w:pPr>
        <w:spacing w:line="360" w:lineRule="auto"/>
        <w:rPr>
          <w:rFonts w:ascii="宋体" w:hAnsi="宋体" w:cs="宋体"/>
          <w:b/>
          <w:color w:val="auto"/>
          <w:szCs w:val="21"/>
        </w:rPr>
      </w:pPr>
      <w:r>
        <w:rPr>
          <w:rFonts w:hint="eastAsia" w:ascii="宋体" w:hAnsi="宋体" w:cs="宋体"/>
          <w:b/>
          <w:color w:val="auto"/>
          <w:szCs w:val="21"/>
        </w:rPr>
        <w:t>致：韶关市君信招标代理有限公司</w:t>
      </w:r>
    </w:p>
    <w:p w14:paraId="6367F8F7">
      <w:pPr>
        <w:spacing w:line="360" w:lineRule="auto"/>
        <w:ind w:firstLine="420" w:firstLineChars="200"/>
        <w:rPr>
          <w:rFonts w:ascii="宋体" w:hAnsi="宋体" w:cs="宋体"/>
          <w:color w:val="auto"/>
          <w:szCs w:val="21"/>
        </w:rPr>
      </w:pPr>
      <w:r>
        <w:rPr>
          <w:rFonts w:hint="eastAsia" w:ascii="宋体" w:hAnsi="宋体" w:cs="宋体"/>
          <w:color w:val="auto"/>
          <w:szCs w:val="21"/>
        </w:rPr>
        <w:t>如果我方在贵公司组织的</w:t>
      </w:r>
      <w:r>
        <w:rPr>
          <w:rFonts w:hint="eastAsia" w:ascii="宋体" w:hAnsi="宋体" w:cs="宋体"/>
          <w:color w:val="auto"/>
          <w:szCs w:val="21"/>
          <w:u w:val="single"/>
        </w:rPr>
        <w:t>项目名称：    （项目编号：    ）</w:t>
      </w:r>
      <w:r>
        <w:rPr>
          <w:rFonts w:hint="eastAsia" w:ascii="宋体" w:hAnsi="宋体" w:cs="宋体"/>
          <w:color w:val="auto"/>
          <w:szCs w:val="21"/>
        </w:rPr>
        <w:t>磋商采购项目中被确定为成交供应商候选人，我方保证在收到《成交通知书》前，按照</w:t>
      </w:r>
      <w:r>
        <w:rPr>
          <w:rFonts w:hint="eastAsia" w:ascii="宋体" w:hAnsi="宋体" w:cs="宋体"/>
          <w:color w:val="auto"/>
          <w:szCs w:val="21"/>
          <w:lang w:eastAsia="zh-CN"/>
        </w:rPr>
        <w:t>采购文件</w:t>
      </w:r>
      <w:r>
        <w:rPr>
          <w:rFonts w:hint="eastAsia" w:ascii="宋体" w:hAnsi="宋体" w:cs="宋体"/>
          <w:color w:val="auto"/>
          <w:szCs w:val="21"/>
        </w:rPr>
        <w:t>的规定向贵公司交纳采购代理服务费。</w:t>
      </w:r>
    </w:p>
    <w:p w14:paraId="644F9CB0">
      <w:pPr>
        <w:spacing w:line="360" w:lineRule="auto"/>
        <w:ind w:firstLine="420" w:firstLineChars="200"/>
        <w:rPr>
          <w:rFonts w:ascii="宋体" w:hAnsi="宋体" w:cs="宋体"/>
          <w:color w:val="auto"/>
          <w:szCs w:val="21"/>
        </w:rPr>
      </w:pPr>
      <w:r>
        <w:rPr>
          <w:rFonts w:hint="eastAsia" w:ascii="宋体" w:hAnsi="宋体" w:cs="宋体"/>
          <w:color w:val="auto"/>
          <w:szCs w:val="21"/>
        </w:rPr>
        <w:t>我方如违约，愿凭贵公司开出的违约通知，按上述承诺金额的200％在采购人与我方签订的采购合同款项中扣付，并在此同意和要求采购人（应韶关市君信招标代理有限公司的要求）办理支付手续。</w:t>
      </w:r>
    </w:p>
    <w:p w14:paraId="72B63478">
      <w:pPr>
        <w:spacing w:line="360" w:lineRule="auto"/>
        <w:ind w:firstLine="420" w:firstLineChars="200"/>
        <w:rPr>
          <w:rFonts w:ascii="宋体" w:hAnsi="宋体" w:cs="宋体"/>
          <w:color w:val="auto"/>
          <w:szCs w:val="21"/>
        </w:rPr>
      </w:pPr>
      <w:r>
        <w:rPr>
          <w:rFonts w:hint="eastAsia" w:ascii="宋体" w:hAnsi="宋体" w:cs="宋体"/>
          <w:color w:val="auto"/>
          <w:szCs w:val="21"/>
        </w:rPr>
        <w:t>特此承诺！</w:t>
      </w:r>
    </w:p>
    <w:p w14:paraId="15C8AB29">
      <w:pPr>
        <w:adjustRightInd w:val="0"/>
        <w:snapToGrid w:val="0"/>
        <w:spacing w:line="360" w:lineRule="auto"/>
        <w:rPr>
          <w:rFonts w:ascii="宋体" w:hAnsi="宋体" w:cs="宋体"/>
          <w:color w:val="auto"/>
          <w:szCs w:val="21"/>
        </w:rPr>
      </w:pPr>
      <w:bookmarkStart w:id="484" w:name="_Toc338083279"/>
    </w:p>
    <w:p w14:paraId="588BCB73">
      <w:pPr>
        <w:adjustRightInd w:val="0"/>
        <w:snapToGrid w:val="0"/>
        <w:spacing w:line="360" w:lineRule="auto"/>
        <w:rPr>
          <w:rFonts w:ascii="宋体" w:hAnsi="宋体" w:cs="宋体"/>
          <w:color w:val="auto"/>
          <w:szCs w:val="21"/>
          <w:u w:val="single"/>
        </w:rPr>
      </w:pPr>
      <w:r>
        <w:rPr>
          <w:rFonts w:hint="eastAsia" w:ascii="宋体" w:hAnsi="宋体" w:cs="宋体"/>
          <w:color w:val="auto"/>
          <w:szCs w:val="21"/>
        </w:rPr>
        <w:t>供应商名称（盖章）：</w:t>
      </w:r>
    </w:p>
    <w:p w14:paraId="160CCDBD">
      <w:pPr>
        <w:adjustRightInd w:val="0"/>
        <w:snapToGrid w:val="0"/>
        <w:spacing w:line="360" w:lineRule="auto"/>
        <w:rPr>
          <w:rFonts w:ascii="宋体" w:hAnsi="宋体" w:cs="宋体"/>
          <w:color w:val="auto"/>
          <w:szCs w:val="21"/>
        </w:rPr>
      </w:pPr>
      <w:r>
        <w:rPr>
          <w:rFonts w:hint="eastAsia" w:ascii="宋体" w:hAnsi="宋体" w:cs="宋体"/>
          <w:color w:val="auto"/>
          <w:szCs w:val="21"/>
        </w:rPr>
        <w:t>日期：   年   月   日</w:t>
      </w:r>
      <w:bookmarkStart w:id="485" w:name="_Toc453695574"/>
      <w:bookmarkStart w:id="486" w:name="_Toc453695701"/>
      <w:bookmarkStart w:id="487" w:name="_Toc461991265"/>
    </w:p>
    <w:p w14:paraId="1CBAA076">
      <w:pPr>
        <w:adjustRightInd w:val="0"/>
        <w:snapToGrid w:val="0"/>
        <w:spacing w:line="360" w:lineRule="auto"/>
        <w:rPr>
          <w:rFonts w:ascii="宋体" w:hAnsi="宋体" w:cs="宋体"/>
          <w:color w:val="auto"/>
          <w:szCs w:val="21"/>
        </w:rPr>
      </w:pPr>
    </w:p>
    <w:p w14:paraId="2E80530B">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lang w:val="en-US" w:eastAsia="zh-CN"/>
        </w:rPr>
        <w:t>5</w:t>
      </w:r>
      <w:r>
        <w:rPr>
          <w:rFonts w:hint="eastAsia" w:ascii="宋体" w:hAnsi="宋体" w:cs="宋体"/>
          <w:b/>
          <w:color w:val="auto"/>
          <w:sz w:val="28"/>
          <w:szCs w:val="28"/>
        </w:rPr>
        <w:t>、同意</w:t>
      </w:r>
      <w:r>
        <w:rPr>
          <w:rFonts w:hint="eastAsia" w:ascii="宋体" w:hAnsi="宋体" w:cs="宋体"/>
          <w:b/>
          <w:color w:val="auto"/>
          <w:sz w:val="28"/>
          <w:szCs w:val="28"/>
          <w:lang w:eastAsia="zh-CN"/>
        </w:rPr>
        <w:t>采购文件</w:t>
      </w:r>
      <w:r>
        <w:rPr>
          <w:rFonts w:hint="eastAsia" w:ascii="宋体" w:hAnsi="宋体" w:cs="宋体"/>
          <w:b/>
          <w:color w:val="auto"/>
          <w:sz w:val="28"/>
          <w:szCs w:val="28"/>
        </w:rPr>
        <w:t>条款说明</w:t>
      </w:r>
      <w:bookmarkEnd w:id="484"/>
      <w:bookmarkEnd w:id="485"/>
      <w:bookmarkEnd w:id="486"/>
      <w:bookmarkEnd w:id="487"/>
    </w:p>
    <w:p w14:paraId="6B6243D8">
      <w:pPr>
        <w:widowControl/>
        <w:spacing w:line="360" w:lineRule="auto"/>
        <w:rPr>
          <w:rFonts w:ascii="宋体" w:hAnsi="宋体" w:cs="宋体"/>
          <w:b/>
          <w:color w:val="auto"/>
          <w:szCs w:val="21"/>
        </w:rPr>
      </w:pPr>
      <w:r>
        <w:rPr>
          <w:rFonts w:hint="eastAsia" w:ascii="宋体" w:hAnsi="宋体" w:cs="宋体"/>
          <w:b/>
          <w:color w:val="auto"/>
          <w:szCs w:val="21"/>
        </w:rPr>
        <w:t>致：韶关市君信招标代理有限公司</w:t>
      </w:r>
    </w:p>
    <w:p w14:paraId="04701C15">
      <w:pPr>
        <w:spacing w:line="360" w:lineRule="auto"/>
        <w:ind w:firstLine="478" w:firstLineChars="228"/>
        <w:rPr>
          <w:rFonts w:ascii="宋体" w:hAnsi="宋体" w:cs="宋体"/>
          <w:color w:val="auto"/>
          <w:szCs w:val="21"/>
        </w:rPr>
      </w:pPr>
      <w:r>
        <w:rPr>
          <w:rFonts w:hint="eastAsia" w:ascii="宋体" w:hAnsi="宋体" w:cs="宋体"/>
          <w:color w:val="auto"/>
          <w:kern w:val="0"/>
          <w:szCs w:val="21"/>
        </w:rPr>
        <w:t>为响应你方组织的</w:t>
      </w:r>
      <w:r>
        <w:rPr>
          <w:rFonts w:hint="eastAsia" w:ascii="宋体" w:hAnsi="宋体" w:cs="宋体"/>
          <w:color w:val="auto"/>
          <w:kern w:val="0"/>
          <w:szCs w:val="21"/>
          <w:u w:val="single"/>
        </w:rPr>
        <w:t>项目名称：     （项目编号：    ）</w:t>
      </w:r>
      <w:r>
        <w:rPr>
          <w:rFonts w:hint="eastAsia" w:ascii="宋体" w:hAnsi="宋体" w:cs="宋体"/>
          <w:color w:val="auto"/>
          <w:kern w:val="0"/>
          <w:szCs w:val="21"/>
        </w:rPr>
        <w:t>的竞争性磋商，我方在参与投标前已详细研究了</w:t>
      </w:r>
      <w:r>
        <w:rPr>
          <w:rFonts w:hint="eastAsia" w:ascii="宋体" w:hAnsi="宋体" w:cs="宋体"/>
          <w:color w:val="auto"/>
          <w:kern w:val="0"/>
          <w:szCs w:val="21"/>
          <w:lang w:eastAsia="zh-CN"/>
        </w:rPr>
        <w:t>采购文件</w:t>
      </w:r>
      <w:r>
        <w:rPr>
          <w:rFonts w:hint="eastAsia" w:ascii="宋体" w:hAnsi="宋体" w:cs="宋体"/>
          <w:color w:val="auto"/>
          <w:kern w:val="0"/>
          <w:szCs w:val="21"/>
        </w:rPr>
        <w:t>的所有内容，包括修改文件（如果有的话）和所有已提供的参考资料以及有关附件，我方完全明白并认为此</w:t>
      </w:r>
      <w:r>
        <w:rPr>
          <w:rFonts w:hint="eastAsia" w:ascii="宋体" w:hAnsi="宋体" w:cs="宋体"/>
          <w:color w:val="auto"/>
          <w:kern w:val="0"/>
          <w:szCs w:val="21"/>
          <w:lang w:eastAsia="zh-CN"/>
        </w:rPr>
        <w:t>采购文件</w:t>
      </w:r>
      <w:r>
        <w:rPr>
          <w:rFonts w:hint="eastAsia" w:ascii="宋体" w:hAnsi="宋体" w:cs="宋体"/>
          <w:color w:val="auto"/>
          <w:kern w:val="0"/>
          <w:szCs w:val="21"/>
        </w:rPr>
        <w:t>没有倾向性，也没有存在排斥潜在供应商的内容，我方并同意</w:t>
      </w:r>
      <w:r>
        <w:rPr>
          <w:rFonts w:hint="eastAsia" w:ascii="宋体" w:hAnsi="宋体" w:cs="宋体"/>
          <w:color w:val="auto"/>
          <w:kern w:val="0"/>
          <w:szCs w:val="21"/>
          <w:lang w:eastAsia="zh-CN"/>
        </w:rPr>
        <w:t>采购文件</w:t>
      </w:r>
      <w:r>
        <w:rPr>
          <w:rFonts w:hint="eastAsia" w:ascii="宋体" w:hAnsi="宋体" w:cs="宋体"/>
          <w:color w:val="auto"/>
          <w:kern w:val="0"/>
          <w:szCs w:val="21"/>
        </w:rPr>
        <w:t>的相关条款。</w:t>
      </w:r>
    </w:p>
    <w:p w14:paraId="30D6A1AF">
      <w:pPr>
        <w:spacing w:line="360" w:lineRule="auto"/>
        <w:ind w:firstLine="478" w:firstLineChars="228"/>
        <w:rPr>
          <w:rFonts w:ascii="宋体" w:hAnsi="宋体" w:cs="宋体"/>
          <w:color w:val="auto"/>
          <w:kern w:val="0"/>
          <w:szCs w:val="21"/>
        </w:rPr>
      </w:pPr>
      <w:r>
        <w:rPr>
          <w:rFonts w:hint="eastAsia" w:ascii="宋体" w:hAnsi="宋体" w:cs="宋体"/>
          <w:color w:val="auto"/>
          <w:kern w:val="0"/>
          <w:szCs w:val="21"/>
        </w:rPr>
        <w:t>特此说明。</w:t>
      </w:r>
    </w:p>
    <w:p w14:paraId="377EDBF1">
      <w:pPr>
        <w:adjustRightInd w:val="0"/>
        <w:snapToGrid w:val="0"/>
        <w:spacing w:line="360" w:lineRule="auto"/>
        <w:rPr>
          <w:rFonts w:ascii="宋体" w:hAnsi="宋体" w:cs="宋体"/>
          <w:color w:val="auto"/>
          <w:szCs w:val="21"/>
        </w:rPr>
      </w:pPr>
    </w:p>
    <w:p w14:paraId="79937617">
      <w:pPr>
        <w:adjustRightInd w:val="0"/>
        <w:snapToGrid w:val="0"/>
        <w:spacing w:line="360" w:lineRule="auto"/>
        <w:rPr>
          <w:rFonts w:ascii="宋体" w:hAnsi="宋体" w:cs="宋体"/>
          <w:color w:val="auto"/>
          <w:szCs w:val="21"/>
          <w:u w:val="single"/>
        </w:rPr>
      </w:pPr>
      <w:r>
        <w:rPr>
          <w:rFonts w:hint="eastAsia" w:ascii="宋体" w:hAnsi="宋体" w:cs="宋体"/>
          <w:color w:val="auto"/>
          <w:szCs w:val="21"/>
        </w:rPr>
        <w:t>供应商名称（盖章）：</w:t>
      </w:r>
    </w:p>
    <w:p w14:paraId="1EF9A5CC">
      <w:pPr>
        <w:rPr>
          <w:rFonts w:ascii="宋体" w:hAnsi="宋体" w:cs="宋体"/>
          <w:b/>
          <w:bCs/>
          <w:color w:val="auto"/>
          <w:szCs w:val="21"/>
        </w:rPr>
      </w:pPr>
      <w:r>
        <w:rPr>
          <w:rFonts w:hint="eastAsia" w:ascii="宋体" w:hAnsi="宋体" w:cs="宋体"/>
          <w:color w:val="auto"/>
          <w:szCs w:val="21"/>
        </w:rPr>
        <w:t>日期：   年   月   日</w:t>
      </w:r>
    </w:p>
    <w:p w14:paraId="41A01865">
      <w:pPr>
        <w:rPr>
          <w:rFonts w:ascii="宋体" w:hAnsi="宋体" w:cs="宋体"/>
          <w:color w:val="auto"/>
        </w:rPr>
      </w:pPr>
    </w:p>
    <w:p w14:paraId="2DB24B58">
      <w:pPr>
        <w:pStyle w:val="3"/>
        <w:spacing w:before="0" w:after="120"/>
        <w:rPr>
          <w:rFonts w:hint="eastAsia" w:cs="宋体"/>
          <w:color w:val="auto"/>
        </w:rPr>
      </w:pPr>
      <w:bookmarkStart w:id="488" w:name="_Toc28170"/>
      <w:bookmarkStart w:id="489" w:name="_Toc29016"/>
      <w:bookmarkStart w:id="490" w:name="_Toc9975"/>
      <w:bookmarkStart w:id="491" w:name="_Toc4298"/>
      <w:bookmarkStart w:id="492" w:name="_Toc24928"/>
      <w:bookmarkStart w:id="493" w:name="_Toc12967"/>
      <w:bookmarkStart w:id="494" w:name="_Toc717"/>
    </w:p>
    <w:p w14:paraId="622AB1C7">
      <w:pPr>
        <w:rPr>
          <w:rFonts w:hint="eastAsia" w:cs="宋体"/>
          <w:color w:val="auto"/>
        </w:rPr>
      </w:pPr>
      <w:bookmarkStart w:id="495" w:name="_Toc29310"/>
      <w:r>
        <w:rPr>
          <w:rFonts w:hint="eastAsia" w:cs="宋体"/>
          <w:color w:val="auto"/>
        </w:rPr>
        <w:br w:type="page"/>
      </w:r>
    </w:p>
    <w:p w14:paraId="2EA751EB">
      <w:pPr>
        <w:pStyle w:val="3"/>
        <w:spacing w:before="0" w:after="120"/>
        <w:rPr>
          <w:rFonts w:cs="宋体"/>
          <w:color w:val="auto"/>
        </w:rPr>
      </w:pPr>
      <w:bookmarkStart w:id="496" w:name="_Toc4037"/>
      <w:r>
        <w:rPr>
          <w:rFonts w:hint="eastAsia" w:cs="宋体"/>
          <w:color w:val="auto"/>
        </w:rPr>
        <w:t>六、技术文件格式</w:t>
      </w:r>
      <w:bookmarkEnd w:id="488"/>
      <w:bookmarkEnd w:id="489"/>
      <w:bookmarkEnd w:id="490"/>
      <w:bookmarkEnd w:id="491"/>
      <w:bookmarkEnd w:id="492"/>
      <w:bookmarkEnd w:id="493"/>
      <w:bookmarkEnd w:id="494"/>
      <w:bookmarkEnd w:id="495"/>
      <w:bookmarkEnd w:id="496"/>
    </w:p>
    <w:p w14:paraId="27EA88E8">
      <w:pPr>
        <w:jc w:val="center"/>
        <w:rPr>
          <w:rFonts w:ascii="宋体" w:hAnsi="宋体" w:cs="宋体"/>
          <w:b/>
          <w:color w:val="auto"/>
          <w:sz w:val="24"/>
          <w:szCs w:val="24"/>
        </w:rPr>
      </w:pPr>
      <w:r>
        <w:rPr>
          <w:rFonts w:hint="eastAsia" w:ascii="宋体" w:hAnsi="宋体" w:cs="宋体"/>
          <w:b/>
          <w:color w:val="auto"/>
          <w:sz w:val="24"/>
          <w:szCs w:val="24"/>
        </w:rPr>
        <w:t>1、技术方案</w:t>
      </w:r>
    </w:p>
    <w:p w14:paraId="432E28AC">
      <w:pPr>
        <w:rPr>
          <w:rFonts w:hint="eastAsia" w:ascii="宋体" w:hAnsi="宋体" w:cs="宋体"/>
          <w:bCs/>
          <w:color w:val="auto"/>
        </w:rPr>
      </w:pPr>
      <w:r>
        <w:rPr>
          <w:rFonts w:hint="eastAsia" w:ascii="宋体" w:hAnsi="宋体" w:cs="宋体"/>
          <w:bCs/>
          <w:color w:val="auto"/>
        </w:rPr>
        <w:t>【说明】根据评审表编写技术方案内容，格式自拟。</w:t>
      </w:r>
    </w:p>
    <w:p w14:paraId="7ECAFBC6">
      <w:pPr>
        <w:pStyle w:val="13"/>
        <w:rPr>
          <w:rFonts w:hint="eastAsia" w:ascii="宋体" w:hAnsi="宋体" w:cs="宋体"/>
          <w:bCs/>
          <w:color w:val="auto"/>
        </w:rPr>
      </w:pPr>
    </w:p>
    <w:p w14:paraId="40088567">
      <w:pPr>
        <w:jc w:val="center"/>
        <w:rPr>
          <w:rFonts w:hint="eastAsia" w:ascii="宋体" w:hAnsi="宋体" w:eastAsia="宋体" w:cs="宋体"/>
          <w:b/>
          <w:color w:val="auto"/>
          <w:sz w:val="24"/>
          <w:szCs w:val="24"/>
        </w:rPr>
      </w:pPr>
    </w:p>
    <w:p w14:paraId="08DEB4A4">
      <w:pPr>
        <w:jc w:val="center"/>
        <w:rPr>
          <w:rFonts w:hint="eastAsia" w:ascii="宋体" w:hAnsi="宋体" w:eastAsia="宋体" w:cs="宋体"/>
          <w:b/>
          <w:color w:val="auto"/>
          <w:sz w:val="24"/>
          <w:szCs w:val="24"/>
          <w:lang w:val="en-US" w:eastAsia="zh-CN"/>
        </w:rPr>
      </w:pPr>
    </w:p>
    <w:p w14:paraId="032B5C99">
      <w:pPr>
        <w:jc w:val="center"/>
        <w:rPr>
          <w:rFonts w:hint="eastAsia" w:ascii="宋体" w:hAnsi="宋体" w:eastAsia="宋体" w:cs="宋体"/>
          <w:b/>
          <w:color w:val="auto"/>
          <w:sz w:val="24"/>
          <w:szCs w:val="24"/>
          <w:lang w:val="en-US" w:eastAsia="zh-CN"/>
        </w:rPr>
      </w:pPr>
    </w:p>
    <w:p w14:paraId="007B4B51">
      <w:pPr>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2、技术要求响应表</w:t>
      </w:r>
    </w:p>
    <w:p w14:paraId="65052CFA">
      <w:pPr>
        <w:spacing w:line="360" w:lineRule="auto"/>
        <w:ind w:firstLine="105" w:firstLineChars="50"/>
        <w:rPr>
          <w:rFonts w:hint="eastAsia" w:ascii="宋体" w:hAnsi="宋体" w:eastAsia="宋体" w:cs="宋体"/>
          <w:kern w:val="28"/>
          <w:szCs w:val="21"/>
          <w:highlight w:val="none"/>
        </w:rPr>
      </w:pPr>
      <w:r>
        <w:rPr>
          <w:rFonts w:hint="eastAsia" w:ascii="宋体" w:hAnsi="宋体" w:eastAsia="宋体" w:cs="宋体"/>
          <w:szCs w:val="21"/>
          <w:highlight w:val="none"/>
        </w:rPr>
        <w:t>项目名称</w:t>
      </w:r>
      <w:r>
        <w:rPr>
          <w:rFonts w:hint="eastAsia" w:ascii="宋体" w:hAnsi="宋体" w:eastAsia="宋体" w:cs="宋体"/>
          <w:kern w:val="28"/>
          <w:szCs w:val="21"/>
          <w:highlight w:val="none"/>
        </w:rPr>
        <w:t xml:space="preserve">：                                            </w:t>
      </w:r>
    </w:p>
    <w:p w14:paraId="4F52B3FD">
      <w:pPr>
        <w:spacing w:line="360" w:lineRule="auto"/>
        <w:ind w:firstLine="105" w:firstLineChars="50"/>
        <w:rPr>
          <w:rFonts w:hint="eastAsia" w:ascii="宋体" w:hAnsi="宋体" w:eastAsia="宋体" w:cs="宋体"/>
          <w:bCs/>
          <w:szCs w:val="21"/>
          <w:highlight w:val="none"/>
        </w:rPr>
      </w:pPr>
      <w:r>
        <w:rPr>
          <w:rFonts w:hint="eastAsia" w:ascii="宋体" w:hAnsi="宋体" w:eastAsia="宋体" w:cs="宋体"/>
          <w:szCs w:val="21"/>
          <w:highlight w:val="none"/>
        </w:rPr>
        <w:t>项目编号：</w:t>
      </w:r>
    </w:p>
    <w:p w14:paraId="7DC407C0">
      <w:pPr>
        <w:rPr>
          <w:rFonts w:hint="default"/>
          <w:lang w:val="en-US" w:eastAsia="zh-CN"/>
        </w:rPr>
      </w:pPr>
    </w:p>
    <w:tbl>
      <w:tblPr>
        <w:tblStyle w:val="46"/>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581"/>
        <w:gridCol w:w="2550"/>
        <w:gridCol w:w="1328"/>
        <w:gridCol w:w="1328"/>
        <w:gridCol w:w="1328"/>
      </w:tblGrid>
      <w:tr w14:paraId="5DAC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22" w:type="dxa"/>
            <w:vAlign w:val="center"/>
          </w:tcPr>
          <w:p w14:paraId="0AA1C940">
            <w:pPr>
              <w:keepNext w:val="0"/>
              <w:keepLines w:val="0"/>
              <w:suppressLineNumbers w:val="0"/>
              <w:spacing w:before="0" w:beforeAutospacing="0" w:after="0" w:afterAutospacing="0" w:line="240" w:lineRule="exact"/>
              <w:ind w:left="902" w:right="0" w:hanging="902"/>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581" w:type="dxa"/>
            <w:tcBorders>
              <w:left w:val="single" w:color="000000" w:sz="4" w:space="0"/>
            </w:tcBorders>
            <w:vAlign w:val="center"/>
          </w:tcPr>
          <w:p w14:paraId="257452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rFonts w:hint="eastAsia" w:ascii="宋体" w:hAnsi="宋体" w:eastAsia="宋体" w:cs="宋体"/>
                <w:szCs w:val="21"/>
                <w:highlight w:val="none"/>
              </w:rPr>
            </w:pPr>
            <w:r>
              <w:rPr>
                <w:rFonts w:eastAsia="宋体"/>
              </w:rPr>
              <w:t>采购文件规定的技术要</w:t>
            </w:r>
            <w:r>
              <w:t>求</w:t>
            </w:r>
          </w:p>
        </w:tc>
        <w:tc>
          <w:tcPr>
            <w:tcW w:w="2550" w:type="dxa"/>
            <w:vAlign w:val="center"/>
          </w:tcPr>
          <w:p w14:paraId="6DC233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响应文件响应的具体内容</w:t>
            </w:r>
          </w:p>
        </w:tc>
        <w:tc>
          <w:tcPr>
            <w:tcW w:w="1328" w:type="dxa"/>
            <w:vAlign w:val="center"/>
          </w:tcPr>
          <w:p w14:paraId="143CAB9B">
            <w:pPr>
              <w:keepNext w:val="0"/>
              <w:keepLines w:val="0"/>
              <w:suppressLineNumbers w:val="0"/>
              <w:spacing w:before="0" w:beforeAutospacing="0" w:after="0" w:afterAutospacing="0" w:line="240" w:lineRule="exact"/>
              <w:ind w:left="902" w:right="0" w:hanging="902"/>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是否偏离</w:t>
            </w:r>
          </w:p>
        </w:tc>
        <w:tc>
          <w:tcPr>
            <w:tcW w:w="1328" w:type="dxa"/>
            <w:vAlign w:val="center"/>
          </w:tcPr>
          <w:p w14:paraId="11FFFBCE">
            <w:pPr>
              <w:keepNext w:val="0"/>
              <w:keepLines w:val="0"/>
              <w:suppressLineNumbers w:val="0"/>
              <w:spacing w:before="0" w:beforeAutospacing="0" w:after="0" w:afterAutospacing="0" w:line="240" w:lineRule="exact"/>
              <w:ind w:left="902" w:right="0" w:hanging="902"/>
              <w:jc w:val="center"/>
              <w:rPr>
                <w:rFonts w:hint="eastAsia" w:ascii="宋体" w:hAnsi="宋体" w:eastAsia="宋体" w:cs="宋体"/>
                <w:szCs w:val="21"/>
                <w:highlight w:val="none"/>
              </w:rPr>
            </w:pPr>
            <w:r>
              <w:rPr>
                <w:rFonts w:hint="eastAsia" w:ascii="宋体" w:hAnsi="宋体" w:eastAsia="宋体" w:cs="宋体"/>
                <w:szCs w:val="21"/>
                <w:highlight w:val="none"/>
              </w:rPr>
              <w:t>响应页码</w:t>
            </w:r>
          </w:p>
        </w:tc>
        <w:tc>
          <w:tcPr>
            <w:tcW w:w="1328" w:type="dxa"/>
            <w:vAlign w:val="center"/>
          </w:tcPr>
          <w:p w14:paraId="1C5657D0">
            <w:pPr>
              <w:keepNext w:val="0"/>
              <w:keepLines w:val="0"/>
              <w:suppressLineNumbers w:val="0"/>
              <w:spacing w:before="0" w:beforeAutospacing="0" w:after="0" w:afterAutospacing="0" w:line="240" w:lineRule="exact"/>
              <w:ind w:left="902" w:right="0" w:hanging="902"/>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备注</w:t>
            </w:r>
          </w:p>
        </w:tc>
      </w:tr>
      <w:tr w14:paraId="53BF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14:paraId="2D211291">
            <w:pPr>
              <w:keepNext w:val="0"/>
              <w:keepLines w:val="0"/>
              <w:suppressLineNumbers w:val="0"/>
              <w:spacing w:before="0" w:beforeAutospacing="0" w:after="0" w:afterAutospacing="0" w:line="240" w:lineRule="exact"/>
              <w:ind w:left="902" w:right="0" w:hanging="902"/>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581" w:type="dxa"/>
            <w:tcBorders>
              <w:left w:val="single" w:color="000000" w:sz="4" w:space="0"/>
            </w:tcBorders>
            <w:vAlign w:val="center"/>
          </w:tcPr>
          <w:p w14:paraId="6FBBC775">
            <w:pPr>
              <w:keepNext w:val="0"/>
              <w:keepLines w:val="0"/>
              <w:suppressLineNumbers w:val="0"/>
              <w:spacing w:before="0" w:beforeAutospacing="0" w:after="0" w:afterAutospacing="0" w:line="240" w:lineRule="exact"/>
              <w:ind w:left="0" w:right="0"/>
              <w:rPr>
                <w:rFonts w:hint="eastAsia" w:ascii="宋体" w:hAnsi="宋体" w:eastAsia="宋体" w:cs="宋体"/>
                <w:szCs w:val="21"/>
                <w:highlight w:val="none"/>
              </w:rPr>
            </w:pPr>
          </w:p>
        </w:tc>
        <w:tc>
          <w:tcPr>
            <w:tcW w:w="2550" w:type="dxa"/>
            <w:vAlign w:val="top"/>
          </w:tcPr>
          <w:p w14:paraId="29DD5199">
            <w:pPr>
              <w:keepNext w:val="0"/>
              <w:keepLines w:val="0"/>
              <w:suppressLineNumbers w:val="0"/>
              <w:spacing w:before="0" w:beforeAutospacing="0" w:after="0" w:afterAutospacing="0" w:line="240" w:lineRule="exact"/>
              <w:ind w:left="902" w:right="0" w:hanging="902"/>
              <w:rPr>
                <w:rFonts w:hint="eastAsia" w:ascii="宋体" w:hAnsi="宋体" w:eastAsia="宋体" w:cs="宋体"/>
                <w:szCs w:val="21"/>
                <w:highlight w:val="none"/>
              </w:rPr>
            </w:pPr>
          </w:p>
        </w:tc>
        <w:tc>
          <w:tcPr>
            <w:tcW w:w="1328" w:type="dxa"/>
            <w:vAlign w:val="top"/>
          </w:tcPr>
          <w:p w14:paraId="01188CF9">
            <w:pPr>
              <w:keepNext w:val="0"/>
              <w:keepLines w:val="0"/>
              <w:suppressLineNumbers w:val="0"/>
              <w:spacing w:before="0" w:beforeAutospacing="0" w:after="0" w:afterAutospacing="0" w:line="240" w:lineRule="exact"/>
              <w:ind w:left="902" w:right="0" w:hanging="902"/>
              <w:rPr>
                <w:rFonts w:hint="eastAsia" w:ascii="宋体" w:hAnsi="宋体" w:eastAsia="宋体" w:cs="宋体"/>
                <w:szCs w:val="21"/>
                <w:highlight w:val="none"/>
              </w:rPr>
            </w:pPr>
          </w:p>
        </w:tc>
        <w:tc>
          <w:tcPr>
            <w:tcW w:w="1328" w:type="dxa"/>
            <w:vAlign w:val="top"/>
          </w:tcPr>
          <w:p w14:paraId="419F759D">
            <w:pPr>
              <w:keepNext w:val="0"/>
              <w:keepLines w:val="0"/>
              <w:suppressLineNumbers w:val="0"/>
              <w:spacing w:before="0" w:beforeAutospacing="0" w:after="0" w:afterAutospacing="0" w:line="240" w:lineRule="exact"/>
              <w:ind w:left="0" w:right="0"/>
              <w:rPr>
                <w:rFonts w:hint="eastAsia" w:ascii="宋体" w:hAnsi="宋体" w:eastAsia="宋体" w:cs="宋体"/>
                <w:szCs w:val="21"/>
                <w:highlight w:val="none"/>
              </w:rPr>
            </w:pPr>
          </w:p>
        </w:tc>
        <w:tc>
          <w:tcPr>
            <w:tcW w:w="1328" w:type="dxa"/>
            <w:vAlign w:val="top"/>
          </w:tcPr>
          <w:p w14:paraId="6F0A7F48">
            <w:pPr>
              <w:keepNext w:val="0"/>
              <w:keepLines w:val="0"/>
              <w:suppressLineNumbers w:val="0"/>
              <w:spacing w:before="0" w:beforeAutospacing="0" w:after="0" w:afterAutospacing="0" w:line="240" w:lineRule="exact"/>
              <w:ind w:left="0" w:right="0"/>
              <w:rPr>
                <w:rFonts w:hint="eastAsia" w:ascii="宋体" w:hAnsi="宋体" w:eastAsia="宋体" w:cs="宋体"/>
                <w:szCs w:val="21"/>
                <w:highlight w:val="none"/>
              </w:rPr>
            </w:pPr>
          </w:p>
        </w:tc>
      </w:tr>
      <w:tr w14:paraId="0999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14:paraId="2DD75DDB">
            <w:pPr>
              <w:keepNext w:val="0"/>
              <w:keepLines w:val="0"/>
              <w:suppressLineNumbers w:val="0"/>
              <w:spacing w:before="0" w:beforeAutospacing="0" w:after="0" w:afterAutospacing="0" w:line="240" w:lineRule="exact"/>
              <w:ind w:left="902" w:right="0" w:hanging="902"/>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2581" w:type="dxa"/>
            <w:tcBorders>
              <w:left w:val="single" w:color="000000" w:sz="4" w:space="0"/>
            </w:tcBorders>
            <w:vAlign w:val="center"/>
          </w:tcPr>
          <w:p w14:paraId="3AA3042B">
            <w:pPr>
              <w:keepNext w:val="0"/>
              <w:keepLines w:val="0"/>
              <w:suppressLineNumbers w:val="0"/>
              <w:spacing w:before="0" w:beforeAutospacing="0" w:after="0" w:afterAutospacing="0" w:line="240" w:lineRule="exact"/>
              <w:ind w:left="0" w:right="0"/>
              <w:rPr>
                <w:rFonts w:hint="eastAsia" w:ascii="宋体" w:hAnsi="宋体" w:eastAsia="宋体" w:cs="宋体"/>
                <w:szCs w:val="21"/>
                <w:highlight w:val="none"/>
              </w:rPr>
            </w:pPr>
          </w:p>
        </w:tc>
        <w:tc>
          <w:tcPr>
            <w:tcW w:w="2550" w:type="dxa"/>
            <w:vAlign w:val="top"/>
          </w:tcPr>
          <w:p w14:paraId="3BB9942D">
            <w:pPr>
              <w:keepNext w:val="0"/>
              <w:keepLines w:val="0"/>
              <w:suppressLineNumbers w:val="0"/>
              <w:spacing w:before="0" w:beforeAutospacing="0" w:after="0" w:afterAutospacing="0" w:line="240" w:lineRule="exact"/>
              <w:ind w:left="902" w:right="0" w:hanging="902"/>
              <w:rPr>
                <w:rFonts w:hint="eastAsia" w:ascii="宋体" w:hAnsi="宋体" w:eastAsia="宋体" w:cs="宋体"/>
                <w:szCs w:val="21"/>
                <w:highlight w:val="none"/>
              </w:rPr>
            </w:pPr>
          </w:p>
        </w:tc>
        <w:tc>
          <w:tcPr>
            <w:tcW w:w="1328" w:type="dxa"/>
            <w:vAlign w:val="top"/>
          </w:tcPr>
          <w:p w14:paraId="7191A3D2">
            <w:pPr>
              <w:keepNext w:val="0"/>
              <w:keepLines w:val="0"/>
              <w:suppressLineNumbers w:val="0"/>
              <w:spacing w:before="0" w:beforeAutospacing="0" w:after="0" w:afterAutospacing="0" w:line="240" w:lineRule="exact"/>
              <w:ind w:left="902" w:right="0" w:hanging="902"/>
              <w:rPr>
                <w:rFonts w:hint="eastAsia" w:ascii="宋体" w:hAnsi="宋体" w:eastAsia="宋体" w:cs="宋体"/>
                <w:szCs w:val="21"/>
                <w:highlight w:val="none"/>
              </w:rPr>
            </w:pPr>
          </w:p>
        </w:tc>
        <w:tc>
          <w:tcPr>
            <w:tcW w:w="1328" w:type="dxa"/>
            <w:vAlign w:val="top"/>
          </w:tcPr>
          <w:p w14:paraId="29964509">
            <w:pPr>
              <w:keepNext w:val="0"/>
              <w:keepLines w:val="0"/>
              <w:suppressLineNumbers w:val="0"/>
              <w:spacing w:before="0" w:beforeAutospacing="0" w:after="0" w:afterAutospacing="0" w:line="240" w:lineRule="exact"/>
              <w:ind w:left="902" w:right="0" w:hanging="902"/>
              <w:rPr>
                <w:rFonts w:hint="eastAsia" w:ascii="宋体" w:hAnsi="宋体" w:eastAsia="宋体" w:cs="宋体"/>
                <w:szCs w:val="21"/>
                <w:highlight w:val="none"/>
              </w:rPr>
            </w:pPr>
          </w:p>
        </w:tc>
        <w:tc>
          <w:tcPr>
            <w:tcW w:w="1328" w:type="dxa"/>
            <w:vAlign w:val="top"/>
          </w:tcPr>
          <w:p w14:paraId="65FCBE1E">
            <w:pPr>
              <w:keepNext w:val="0"/>
              <w:keepLines w:val="0"/>
              <w:suppressLineNumbers w:val="0"/>
              <w:spacing w:before="0" w:beforeAutospacing="0" w:after="0" w:afterAutospacing="0" w:line="240" w:lineRule="exact"/>
              <w:ind w:left="902" w:right="0" w:hanging="902"/>
              <w:rPr>
                <w:rFonts w:hint="eastAsia" w:ascii="宋体" w:hAnsi="宋体" w:eastAsia="宋体" w:cs="宋体"/>
                <w:szCs w:val="21"/>
                <w:highlight w:val="none"/>
              </w:rPr>
            </w:pPr>
          </w:p>
        </w:tc>
      </w:tr>
      <w:tr w14:paraId="55B1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14:paraId="1A489C33">
            <w:pPr>
              <w:keepNext w:val="0"/>
              <w:keepLines w:val="0"/>
              <w:suppressLineNumbers w:val="0"/>
              <w:spacing w:before="0" w:beforeAutospacing="0" w:after="0" w:afterAutospacing="0" w:line="240" w:lineRule="exact"/>
              <w:ind w:left="902" w:right="0" w:hanging="902"/>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2581" w:type="dxa"/>
            <w:tcBorders>
              <w:left w:val="single" w:color="000000" w:sz="4" w:space="0"/>
            </w:tcBorders>
            <w:vAlign w:val="top"/>
          </w:tcPr>
          <w:p w14:paraId="17B2D223">
            <w:pPr>
              <w:keepNext w:val="0"/>
              <w:keepLines w:val="0"/>
              <w:suppressLineNumbers w:val="0"/>
              <w:spacing w:before="0" w:beforeAutospacing="0" w:after="0" w:afterAutospacing="0" w:line="240" w:lineRule="exact"/>
              <w:ind w:left="0" w:right="0"/>
              <w:rPr>
                <w:rFonts w:hint="eastAsia" w:ascii="宋体" w:hAnsi="宋体" w:eastAsia="宋体" w:cs="宋体"/>
                <w:szCs w:val="21"/>
                <w:highlight w:val="none"/>
              </w:rPr>
            </w:pPr>
          </w:p>
        </w:tc>
        <w:tc>
          <w:tcPr>
            <w:tcW w:w="2550" w:type="dxa"/>
            <w:vAlign w:val="top"/>
          </w:tcPr>
          <w:p w14:paraId="2212EE22">
            <w:pPr>
              <w:keepNext w:val="0"/>
              <w:keepLines w:val="0"/>
              <w:suppressLineNumbers w:val="0"/>
              <w:spacing w:before="0" w:beforeAutospacing="0" w:after="0" w:afterAutospacing="0" w:line="240" w:lineRule="exact"/>
              <w:ind w:left="902" w:right="0" w:hanging="902"/>
              <w:rPr>
                <w:rFonts w:hint="eastAsia" w:ascii="宋体" w:hAnsi="宋体" w:eastAsia="宋体" w:cs="宋体"/>
                <w:szCs w:val="21"/>
                <w:highlight w:val="none"/>
              </w:rPr>
            </w:pPr>
          </w:p>
        </w:tc>
        <w:tc>
          <w:tcPr>
            <w:tcW w:w="1328" w:type="dxa"/>
            <w:vAlign w:val="top"/>
          </w:tcPr>
          <w:p w14:paraId="56EFE719">
            <w:pPr>
              <w:keepNext w:val="0"/>
              <w:keepLines w:val="0"/>
              <w:suppressLineNumbers w:val="0"/>
              <w:spacing w:before="0" w:beforeAutospacing="0" w:after="0" w:afterAutospacing="0" w:line="240" w:lineRule="exact"/>
              <w:ind w:left="902" w:right="0" w:hanging="902"/>
              <w:rPr>
                <w:rFonts w:hint="eastAsia" w:ascii="宋体" w:hAnsi="宋体" w:eastAsia="宋体" w:cs="宋体"/>
                <w:szCs w:val="21"/>
                <w:highlight w:val="none"/>
              </w:rPr>
            </w:pPr>
          </w:p>
        </w:tc>
        <w:tc>
          <w:tcPr>
            <w:tcW w:w="1328" w:type="dxa"/>
            <w:vAlign w:val="top"/>
          </w:tcPr>
          <w:p w14:paraId="10BC24F5">
            <w:pPr>
              <w:keepNext w:val="0"/>
              <w:keepLines w:val="0"/>
              <w:suppressLineNumbers w:val="0"/>
              <w:spacing w:before="0" w:beforeAutospacing="0" w:after="0" w:afterAutospacing="0" w:line="240" w:lineRule="exact"/>
              <w:ind w:left="902" w:right="0" w:hanging="902"/>
              <w:rPr>
                <w:rFonts w:hint="eastAsia" w:ascii="宋体" w:hAnsi="宋体" w:eastAsia="宋体" w:cs="宋体"/>
                <w:szCs w:val="21"/>
                <w:highlight w:val="none"/>
              </w:rPr>
            </w:pPr>
          </w:p>
        </w:tc>
        <w:tc>
          <w:tcPr>
            <w:tcW w:w="1328" w:type="dxa"/>
            <w:vAlign w:val="top"/>
          </w:tcPr>
          <w:p w14:paraId="0B9467D1">
            <w:pPr>
              <w:keepNext w:val="0"/>
              <w:keepLines w:val="0"/>
              <w:suppressLineNumbers w:val="0"/>
              <w:spacing w:before="0" w:beforeAutospacing="0" w:after="0" w:afterAutospacing="0" w:line="240" w:lineRule="exact"/>
              <w:ind w:left="902" w:right="0" w:hanging="902"/>
              <w:rPr>
                <w:rFonts w:hint="eastAsia" w:ascii="宋体" w:hAnsi="宋体" w:eastAsia="宋体" w:cs="宋体"/>
                <w:szCs w:val="21"/>
                <w:highlight w:val="none"/>
              </w:rPr>
            </w:pPr>
          </w:p>
        </w:tc>
      </w:tr>
      <w:tr w14:paraId="0A65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14:paraId="4610CD23">
            <w:pPr>
              <w:keepNext w:val="0"/>
              <w:keepLines w:val="0"/>
              <w:suppressLineNumbers w:val="0"/>
              <w:spacing w:before="0" w:beforeAutospacing="0" w:after="0" w:afterAutospacing="0" w:line="240" w:lineRule="exact"/>
              <w:ind w:left="0" w:right="0" w:firstLine="105" w:firstLineChars="50"/>
              <w:rPr>
                <w:rFonts w:hint="eastAsia" w:ascii="宋体" w:hAnsi="宋体" w:eastAsia="宋体" w:cs="宋体"/>
                <w:szCs w:val="21"/>
                <w:highlight w:val="none"/>
              </w:rPr>
            </w:pPr>
            <w:r>
              <w:rPr>
                <w:rFonts w:hint="eastAsia" w:ascii="宋体" w:hAnsi="宋体" w:eastAsia="宋体" w:cs="宋体"/>
                <w:szCs w:val="21"/>
                <w:highlight w:val="none"/>
              </w:rPr>
              <w:t>…</w:t>
            </w:r>
          </w:p>
        </w:tc>
        <w:tc>
          <w:tcPr>
            <w:tcW w:w="2581" w:type="dxa"/>
            <w:tcBorders>
              <w:left w:val="single" w:color="000000" w:sz="4" w:space="0"/>
            </w:tcBorders>
            <w:vAlign w:val="top"/>
          </w:tcPr>
          <w:p w14:paraId="1F9337F9">
            <w:pPr>
              <w:keepNext w:val="0"/>
              <w:keepLines w:val="0"/>
              <w:suppressLineNumbers w:val="0"/>
              <w:spacing w:before="0" w:beforeAutospacing="0" w:after="0" w:afterAutospacing="0" w:line="240" w:lineRule="exact"/>
              <w:ind w:left="0" w:right="0"/>
              <w:rPr>
                <w:rFonts w:hint="eastAsia" w:ascii="宋体" w:hAnsi="宋体" w:eastAsia="宋体" w:cs="宋体"/>
                <w:szCs w:val="21"/>
                <w:highlight w:val="none"/>
              </w:rPr>
            </w:pPr>
          </w:p>
        </w:tc>
        <w:tc>
          <w:tcPr>
            <w:tcW w:w="2550" w:type="dxa"/>
            <w:vAlign w:val="top"/>
          </w:tcPr>
          <w:p w14:paraId="0482D7CD">
            <w:pPr>
              <w:keepNext w:val="0"/>
              <w:keepLines w:val="0"/>
              <w:suppressLineNumbers w:val="0"/>
              <w:spacing w:before="0" w:beforeAutospacing="0" w:after="0" w:afterAutospacing="0" w:line="240" w:lineRule="exact"/>
              <w:ind w:left="902" w:right="0" w:hanging="902"/>
              <w:rPr>
                <w:rFonts w:hint="eastAsia" w:ascii="宋体" w:hAnsi="宋体" w:eastAsia="宋体" w:cs="宋体"/>
                <w:szCs w:val="21"/>
                <w:highlight w:val="none"/>
              </w:rPr>
            </w:pPr>
          </w:p>
        </w:tc>
        <w:tc>
          <w:tcPr>
            <w:tcW w:w="1328" w:type="dxa"/>
            <w:vAlign w:val="top"/>
          </w:tcPr>
          <w:p w14:paraId="7D035CBC">
            <w:pPr>
              <w:keepNext w:val="0"/>
              <w:keepLines w:val="0"/>
              <w:suppressLineNumbers w:val="0"/>
              <w:spacing w:before="0" w:beforeAutospacing="0" w:after="0" w:afterAutospacing="0" w:line="240" w:lineRule="exact"/>
              <w:ind w:left="902" w:right="0" w:hanging="902"/>
              <w:rPr>
                <w:rFonts w:hint="eastAsia" w:ascii="宋体" w:hAnsi="宋体" w:eastAsia="宋体" w:cs="宋体"/>
                <w:szCs w:val="21"/>
                <w:highlight w:val="none"/>
              </w:rPr>
            </w:pPr>
          </w:p>
        </w:tc>
        <w:tc>
          <w:tcPr>
            <w:tcW w:w="1328" w:type="dxa"/>
            <w:vAlign w:val="top"/>
          </w:tcPr>
          <w:p w14:paraId="753B46C6">
            <w:pPr>
              <w:keepNext w:val="0"/>
              <w:keepLines w:val="0"/>
              <w:suppressLineNumbers w:val="0"/>
              <w:spacing w:before="0" w:beforeAutospacing="0" w:after="0" w:afterAutospacing="0" w:line="240" w:lineRule="exact"/>
              <w:ind w:left="902" w:right="0" w:hanging="902"/>
              <w:rPr>
                <w:rFonts w:hint="eastAsia" w:ascii="宋体" w:hAnsi="宋体" w:eastAsia="宋体" w:cs="宋体"/>
                <w:szCs w:val="21"/>
                <w:highlight w:val="none"/>
              </w:rPr>
            </w:pPr>
          </w:p>
        </w:tc>
        <w:tc>
          <w:tcPr>
            <w:tcW w:w="1328" w:type="dxa"/>
            <w:vAlign w:val="top"/>
          </w:tcPr>
          <w:p w14:paraId="3DEFA880">
            <w:pPr>
              <w:keepNext w:val="0"/>
              <w:keepLines w:val="0"/>
              <w:suppressLineNumbers w:val="0"/>
              <w:spacing w:before="0" w:beforeAutospacing="0" w:after="0" w:afterAutospacing="0" w:line="240" w:lineRule="exact"/>
              <w:ind w:left="902" w:right="0" w:hanging="902"/>
              <w:rPr>
                <w:rFonts w:hint="eastAsia" w:ascii="宋体" w:hAnsi="宋体" w:eastAsia="宋体" w:cs="宋体"/>
                <w:szCs w:val="21"/>
                <w:highlight w:val="none"/>
              </w:rPr>
            </w:pPr>
          </w:p>
        </w:tc>
      </w:tr>
    </w:tbl>
    <w:p w14:paraId="4417A171">
      <w:pPr>
        <w:pStyle w:val="13"/>
        <w:rPr>
          <w:rFonts w:hint="default" w:eastAsia="宋体"/>
          <w:lang w:val="en-US" w:eastAsia="zh-CN"/>
        </w:rPr>
      </w:pPr>
    </w:p>
    <w:p w14:paraId="3F0EFD00">
      <w:pPr>
        <w:pStyle w:val="71"/>
        <w:rPr>
          <w:rFonts w:ascii="宋体" w:hAnsi="宋体" w:cs="宋体"/>
          <w:bCs/>
          <w:color w:val="auto"/>
        </w:rPr>
      </w:pPr>
    </w:p>
    <w:p w14:paraId="7A094CAA">
      <w:pPr>
        <w:rPr>
          <w:rFonts w:hint="default" w:ascii="宋体" w:hAnsi="宋体" w:cs="宋体"/>
          <w:color w:val="auto"/>
          <w:lang w:val="en-US" w:eastAsia="zh-CN"/>
        </w:rPr>
      </w:pPr>
      <w:r>
        <w:rPr>
          <w:rFonts w:hint="eastAsia" w:ascii="宋体" w:hAnsi="宋体" w:cs="宋体"/>
          <w:color w:val="auto"/>
          <w:lang w:val="en-US" w:eastAsia="zh-CN"/>
        </w:rPr>
        <w:t>【说明】供应商</w:t>
      </w:r>
      <w:r>
        <w:rPr>
          <w:rFonts w:hint="eastAsia" w:ascii="宋体" w:hAnsi="宋体" w:eastAsia="宋体" w:cs="宋体"/>
          <w:highlight w:val="none"/>
        </w:rPr>
        <w:t>应对照第二章《用户需求书》所列</w:t>
      </w:r>
      <w:r>
        <w:rPr>
          <w:rFonts w:hint="eastAsia" w:ascii="宋体" w:hAnsi="宋体" w:eastAsia="宋体" w:cs="宋体"/>
          <w:highlight w:val="none"/>
          <w:lang w:val="en-US" w:eastAsia="zh-CN"/>
        </w:rPr>
        <w:t>技术</w:t>
      </w:r>
      <w:r>
        <w:rPr>
          <w:rFonts w:hint="eastAsia" w:ascii="宋体" w:hAnsi="宋体" w:eastAsia="宋体" w:cs="宋体"/>
          <w:highlight w:val="none"/>
        </w:rPr>
        <w:t>要求的内容一一响应，是否偏离”项下应按下列规定填写：优于的，填写“正偏离”；符合的，填写“无偏离”；低于的，填写“负偏离”</w:t>
      </w:r>
      <w:r>
        <w:rPr>
          <w:rFonts w:hint="eastAsia" w:ascii="宋体" w:hAnsi="宋体" w:eastAsia="宋体" w:cs="宋体"/>
          <w:highlight w:val="none"/>
          <w:lang w:eastAsia="zh-CN"/>
        </w:rPr>
        <w:t>，“</w:t>
      </w:r>
      <w:r>
        <w:t>备注</w:t>
      </w:r>
      <w:r>
        <w:rPr>
          <w:rFonts w:hint="eastAsia" w:ascii="宋体" w:hAnsi="宋体" w:eastAsia="宋体" w:cs="宋体"/>
          <w:highlight w:val="none"/>
          <w:lang w:eastAsia="zh-CN"/>
        </w:rPr>
        <w:t>”</w:t>
      </w:r>
      <w:r>
        <w:t>处可填写偏离情况的说明</w:t>
      </w:r>
      <w:r>
        <w:rPr>
          <w:rFonts w:hint="eastAsia" w:ascii="宋体" w:hAnsi="宋体" w:eastAsia="宋体" w:cs="宋体"/>
          <w:highlight w:val="none"/>
        </w:rPr>
        <w:t>。</w:t>
      </w:r>
    </w:p>
    <w:sectPr>
      <w:footerReference r:id="rId7" w:type="default"/>
      <w:pgSz w:w="11906" w:h="16838"/>
      <w:pgMar w:top="1134" w:right="1134" w:bottom="1134" w:left="1134" w:header="737" w:footer="737" w:gutter="0"/>
      <w:pgBorders>
        <w:top w:val="none" w:sz="0" w:space="0"/>
        <w:left w:val="none" w:sz="0" w:space="0"/>
        <w:bottom w:val="none" w:sz="0" w:space="0"/>
        <w:right w:val="none" w:sz="0" w:space="0"/>
      </w:pgBorders>
      <w:pgNumType w:fmt="decimal"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dobe 宋体 Std L">
    <w:altName w:val="宋体"/>
    <w:panose1 w:val="00000000000000000000"/>
    <w:charset w:val="86"/>
    <w:family w:val="roman"/>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CF3B">
    <w:pPr>
      <w:pStyle w:val="88"/>
      <w:ind w:firstLine="1530" w:firstLineChars="850"/>
    </w:pPr>
    <w:r>
      <w:rPr>
        <w:rFonts w:hint="eastAsia"/>
      </w:rPr>
      <w:t>韶关市君信</w:t>
    </w:r>
    <w:r>
      <w:t>招标代理有限公司</w:t>
    </w:r>
    <w:r>
      <w:rPr>
        <w:rFonts w:hint="eastAsia"/>
      </w:rPr>
      <w:t xml:space="preserve">  </w:t>
    </w:r>
    <w: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D40A9">
    <w:pPr>
      <w:bidi w:val="0"/>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FA642">
                          <w:pPr>
                            <w:bidi w:val="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DAFA642">
                    <w:pPr>
                      <w:bidi w:val="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F0F4D">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915F82">
                          <w:pPr>
                            <w:pStyle w:val="29"/>
                            <w:pBdr>
                              <w:top w:val="none" w:color="auto" w:sz="0" w:space="1"/>
                            </w:pBd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nTSskBAACZAwAADgAAAGRycy9lMm9Eb2MueG1srVPNjtMwEL4j8Q6W&#10;79Rpk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GdNKyQEAAJkDAAAOAAAAAAAAAAEAIAAAAB4BAABkcnMvZTJvRG9j&#10;LnhtbFBLBQYAAAAABgAGAFkBAABZBQAAAAA=&#10;">
              <v:fill on="f" focussize="0,0"/>
              <v:stroke on="f"/>
              <v:imagedata o:title=""/>
              <o:lock v:ext="edit" aspectratio="f"/>
              <v:textbox inset="0mm,0mm,0mm,0mm" style="mso-fit-shape-to-text:t;">
                <w:txbxContent>
                  <w:p w14:paraId="48915F82">
                    <w:pPr>
                      <w:pStyle w:val="29"/>
                      <w:pBdr>
                        <w:top w:val="none" w:color="auto" w:sz="0" w:space="1"/>
                      </w:pBd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01EC4">
    <w:pPr>
      <w:bidi w:val="0"/>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51138">
                          <w:pPr>
                            <w:bidi w:val="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F451138">
                    <w:pPr>
                      <w:bidi w:val="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DA007">
    <w:pPr>
      <w:pStyle w:val="30"/>
      <w:jc w:val="left"/>
      <w:rPr>
        <w:rFonts w:hint="default"/>
      </w:rPr>
    </w:pPr>
    <w:r>
      <w:drawing>
        <wp:inline distT="0" distB="0" distL="114300" distR="114300">
          <wp:extent cx="571500" cy="495300"/>
          <wp:effectExtent l="0" t="0" r="7620" b="7620"/>
          <wp:docPr id="1" name="图片 1" descr="76383482501801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3834825018014413"/>
                  <pic:cNvPicPr>
                    <a:picLocks noChangeAspect="1"/>
                  </pic:cNvPicPr>
                </pic:nvPicPr>
                <pic:blipFill>
                  <a:blip r:embed="rId1"/>
                  <a:stretch>
                    <a:fillRect/>
                  </a:stretch>
                </pic:blipFill>
                <pic:spPr>
                  <a:xfrm>
                    <a:off x="0" y="0"/>
                    <a:ext cx="571500" cy="495300"/>
                  </a:xfrm>
                  <a:prstGeom prst="rect">
                    <a:avLst/>
                  </a:prstGeom>
                  <a:noFill/>
                  <a:ln>
                    <a:noFill/>
                  </a:ln>
                </pic:spPr>
              </pic:pic>
            </a:graphicData>
          </a:graphic>
        </wp:inline>
      </w:drawing>
    </w:r>
    <w:r>
      <w:t>君信招标——诚信，务实，专业，服务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6B07B"/>
    <w:multiLevelType w:val="singleLevel"/>
    <w:tmpl w:val="F9D6B07B"/>
    <w:lvl w:ilvl="0" w:tentative="0">
      <w:start w:val="1"/>
      <w:numFmt w:val="decimal"/>
      <w:suff w:val="nothing"/>
      <w:lvlText w:val="（%1）"/>
      <w:lvlJc w:val="left"/>
    </w:lvl>
  </w:abstractNum>
  <w:abstractNum w:abstractNumId="1">
    <w:nsid w:val="00000007"/>
    <w:multiLevelType w:val="multilevel"/>
    <w:tmpl w:val="00000007"/>
    <w:lvl w:ilvl="0" w:tentative="0">
      <w:start w:val="1"/>
      <w:numFmt w:val="bullet"/>
      <w:pStyle w:val="213"/>
      <w:lvlText w:val=""/>
      <w:lvlJc w:val="left"/>
      <w:pPr>
        <w:ind w:left="525" w:hanging="420"/>
      </w:pPr>
      <w:rPr>
        <w:rFonts w:hint="default" w:ascii="Wingdings" w:hAnsi="Wingdings"/>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
    <w:nsid w:val="04544B4D"/>
    <w:multiLevelType w:val="multilevel"/>
    <w:tmpl w:val="04544B4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pStyle w:val="233"/>
      <w:lvlText w:val="%1.%2."/>
      <w:lvlJc w:val="left"/>
      <w:pPr>
        <w:ind w:left="567" w:hanging="567"/>
      </w:pPr>
      <w:rPr>
        <w:rFonts w:hint="default" w:ascii="Times New Roman" w:hAnsi="Times New Roman" w:cs="Times New Roman"/>
      </w:rPr>
    </w:lvl>
    <w:lvl w:ilvl="2" w:tentative="0">
      <w:start w:val="1"/>
      <w:numFmt w:val="decimal"/>
      <w:pStyle w:val="234"/>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2B2B51E0"/>
    <w:multiLevelType w:val="multilevel"/>
    <w:tmpl w:val="2B2B51E0"/>
    <w:lvl w:ilvl="0" w:tentative="0">
      <w:start w:val="1"/>
      <w:numFmt w:val="decimal"/>
      <w:pStyle w:val="4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20366CC"/>
    <w:multiLevelType w:val="multilevel"/>
    <w:tmpl w:val="320366CC"/>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1A5B1B"/>
    <w:multiLevelType w:val="multilevel"/>
    <w:tmpl w:val="351A5B1B"/>
    <w:lvl w:ilvl="0" w:tentative="0">
      <w:start w:val="1"/>
      <w:numFmt w:val="chineseCountingThousand"/>
      <w:pStyle w:val="158"/>
      <w:suff w:val="nothing"/>
      <w:lvlText w:val="%1、"/>
      <w:lvlJc w:val="left"/>
      <w:pPr>
        <w:ind w:left="0" w:firstLine="0"/>
      </w:pPr>
      <w:rPr>
        <w:rFonts w:hint="eastAsia"/>
      </w:rPr>
    </w:lvl>
    <w:lvl w:ilvl="1" w:tentative="0">
      <w:start w:val="1"/>
      <w:numFmt w:val="decimal"/>
      <w:lvlText w:val="%2."/>
      <w:lvlJc w:val="left"/>
      <w:pPr>
        <w:ind w:left="88" w:firstLine="0"/>
      </w:pPr>
      <w:rPr>
        <w:rFonts w:hint="eastAsia"/>
      </w:rPr>
    </w:lvl>
    <w:lvl w:ilvl="2" w:tentative="0">
      <w:start w:val="3"/>
      <w:numFmt w:val="decimal"/>
      <w:lvlText w:val="%3.1."/>
      <w:lvlJc w:val="left"/>
      <w:pPr>
        <w:ind w:left="88" w:firstLine="0"/>
      </w:pPr>
      <w:rPr>
        <w:rFonts w:hint="eastAsia"/>
        <w:b w:val="0"/>
        <w:i w:val="0"/>
      </w:rPr>
    </w:lvl>
    <w:lvl w:ilvl="3" w:tentative="0">
      <w:start w:val="1"/>
      <w:numFmt w:val="decimal"/>
      <w:lvlText w:val="2.4.%4."/>
      <w:lvlJc w:val="left"/>
      <w:pPr>
        <w:ind w:left="1364" w:firstLine="0"/>
      </w:pPr>
      <w:rPr>
        <w:rFonts w:hint="eastAsia"/>
      </w:rPr>
    </w:lvl>
    <w:lvl w:ilvl="4" w:tentative="0">
      <w:start w:val="1"/>
      <w:numFmt w:val="decimal"/>
      <w:isLgl/>
      <w:suff w:val="space"/>
      <w:lvlText w:val="%1.%2.%3.%4.%5"/>
      <w:lvlJc w:val="left"/>
      <w:pPr>
        <w:ind w:left="88" w:firstLine="0"/>
      </w:pPr>
      <w:rPr>
        <w:rFonts w:hint="eastAsia"/>
      </w:rPr>
    </w:lvl>
    <w:lvl w:ilvl="5" w:tentative="0">
      <w:start w:val="1"/>
      <w:numFmt w:val="decimal"/>
      <w:lvlText w:val="%1.%2.%3.%4.%5.%6"/>
      <w:lvlJc w:val="left"/>
      <w:pPr>
        <w:ind w:left="88" w:firstLine="0"/>
      </w:pPr>
      <w:rPr>
        <w:rFonts w:hint="eastAsia"/>
      </w:rPr>
    </w:lvl>
    <w:lvl w:ilvl="6" w:tentative="0">
      <w:start w:val="1"/>
      <w:numFmt w:val="decimal"/>
      <w:lvlText w:val="%1.%2.%3.%4.%5.%6.%7"/>
      <w:lvlJc w:val="left"/>
      <w:pPr>
        <w:ind w:left="88" w:firstLine="0"/>
      </w:pPr>
      <w:rPr>
        <w:rFonts w:hint="eastAsia"/>
      </w:rPr>
    </w:lvl>
    <w:lvl w:ilvl="7" w:tentative="0">
      <w:start w:val="1"/>
      <w:numFmt w:val="decimal"/>
      <w:lvlText w:val="%1.%2.%3.%4.%5.%6.%7.%8"/>
      <w:lvlJc w:val="left"/>
      <w:pPr>
        <w:ind w:left="88" w:firstLine="0"/>
      </w:pPr>
      <w:rPr>
        <w:rFonts w:hint="eastAsia"/>
      </w:rPr>
    </w:lvl>
    <w:lvl w:ilvl="8" w:tentative="0">
      <w:start w:val="1"/>
      <w:numFmt w:val="decimal"/>
      <w:lvlText w:val="%1.%2.%3.%4.%5.%6.%7.%8.%9"/>
      <w:lvlJc w:val="left"/>
      <w:pPr>
        <w:ind w:left="88" w:firstLine="0"/>
      </w:pPr>
      <w:rPr>
        <w:rFonts w:hint="eastAsia"/>
      </w:rPr>
    </w:lvl>
  </w:abstractNum>
  <w:abstractNum w:abstractNumId="6">
    <w:nsid w:val="359B3DD7"/>
    <w:multiLevelType w:val="multilevel"/>
    <w:tmpl w:val="359B3DD7"/>
    <w:lvl w:ilvl="0" w:tentative="0">
      <w:start w:val="1"/>
      <w:numFmt w:val="decimal"/>
      <w:lvlText w:val="%1)"/>
      <w:lvlJc w:val="left"/>
      <w:pPr>
        <w:tabs>
          <w:tab w:val="left" w:pos="1258"/>
        </w:tabs>
        <w:ind w:left="1258"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5"/>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0D93569"/>
    <w:multiLevelType w:val="multilevel"/>
    <w:tmpl w:val="60D93569"/>
    <w:lvl w:ilvl="0" w:tentative="0">
      <w:start w:val="7"/>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659D0A58"/>
    <w:multiLevelType w:val="multilevel"/>
    <w:tmpl w:val="659D0A58"/>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5"/>
  </w:num>
  <w:num w:numId="3">
    <w:abstractNumId w:val="1"/>
  </w:num>
  <w:num w:numId="4">
    <w:abstractNumId w:val="2"/>
  </w:num>
  <w:num w:numId="5">
    <w:abstractNumId w:val="4"/>
  </w:num>
  <w:num w:numId="6">
    <w:abstractNumId w:val="7"/>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kYWZhNzk3OWU0YzczZmM4MzcxOGUzNGUxZDU4ODkifQ=="/>
  </w:docVars>
  <w:rsids>
    <w:rsidRoot w:val="00172A27"/>
    <w:rsid w:val="001209EF"/>
    <w:rsid w:val="00172A27"/>
    <w:rsid w:val="00180BDD"/>
    <w:rsid w:val="00293445"/>
    <w:rsid w:val="00294642"/>
    <w:rsid w:val="00311A5F"/>
    <w:rsid w:val="0037656B"/>
    <w:rsid w:val="00380EF2"/>
    <w:rsid w:val="003D6888"/>
    <w:rsid w:val="00403136"/>
    <w:rsid w:val="005945C1"/>
    <w:rsid w:val="005B1C4A"/>
    <w:rsid w:val="005C4D2E"/>
    <w:rsid w:val="00651E3E"/>
    <w:rsid w:val="007F2DD9"/>
    <w:rsid w:val="00836CD0"/>
    <w:rsid w:val="008B1170"/>
    <w:rsid w:val="009A73EF"/>
    <w:rsid w:val="00A1735C"/>
    <w:rsid w:val="00A3295D"/>
    <w:rsid w:val="00AB24B0"/>
    <w:rsid w:val="00AC439E"/>
    <w:rsid w:val="00B82DC9"/>
    <w:rsid w:val="00C45899"/>
    <w:rsid w:val="00C534A0"/>
    <w:rsid w:val="00CA2F00"/>
    <w:rsid w:val="00CE0795"/>
    <w:rsid w:val="00DB4A62"/>
    <w:rsid w:val="00E246A9"/>
    <w:rsid w:val="01176182"/>
    <w:rsid w:val="011E5366"/>
    <w:rsid w:val="013304EB"/>
    <w:rsid w:val="014A3098"/>
    <w:rsid w:val="015E7237"/>
    <w:rsid w:val="016842B9"/>
    <w:rsid w:val="01794676"/>
    <w:rsid w:val="018D0F17"/>
    <w:rsid w:val="01BB02A4"/>
    <w:rsid w:val="01D803E5"/>
    <w:rsid w:val="01EF3DAF"/>
    <w:rsid w:val="021F7085"/>
    <w:rsid w:val="022A44B7"/>
    <w:rsid w:val="023E494B"/>
    <w:rsid w:val="024C4095"/>
    <w:rsid w:val="02690D44"/>
    <w:rsid w:val="02704AC1"/>
    <w:rsid w:val="02890D36"/>
    <w:rsid w:val="02985DC6"/>
    <w:rsid w:val="02AC4C68"/>
    <w:rsid w:val="02BE185D"/>
    <w:rsid w:val="02E91610"/>
    <w:rsid w:val="03187CD1"/>
    <w:rsid w:val="03252BDA"/>
    <w:rsid w:val="034223E9"/>
    <w:rsid w:val="034675D0"/>
    <w:rsid w:val="038804E8"/>
    <w:rsid w:val="03E1775F"/>
    <w:rsid w:val="03E32FE1"/>
    <w:rsid w:val="03F4527E"/>
    <w:rsid w:val="03FA4A8A"/>
    <w:rsid w:val="03FE48CF"/>
    <w:rsid w:val="041D1A0D"/>
    <w:rsid w:val="04293179"/>
    <w:rsid w:val="04354A1B"/>
    <w:rsid w:val="045D133B"/>
    <w:rsid w:val="047D06AE"/>
    <w:rsid w:val="047F723D"/>
    <w:rsid w:val="048A5A6D"/>
    <w:rsid w:val="049D0DA2"/>
    <w:rsid w:val="04A40A52"/>
    <w:rsid w:val="04A96068"/>
    <w:rsid w:val="04B51353"/>
    <w:rsid w:val="04B66A0E"/>
    <w:rsid w:val="04CA673A"/>
    <w:rsid w:val="04DA572A"/>
    <w:rsid w:val="04EA5953"/>
    <w:rsid w:val="04F86712"/>
    <w:rsid w:val="04FD0162"/>
    <w:rsid w:val="0517535C"/>
    <w:rsid w:val="05191440"/>
    <w:rsid w:val="05204AB5"/>
    <w:rsid w:val="053A5D1F"/>
    <w:rsid w:val="055324E6"/>
    <w:rsid w:val="055F2BCB"/>
    <w:rsid w:val="057C5430"/>
    <w:rsid w:val="058104BD"/>
    <w:rsid w:val="05D252BA"/>
    <w:rsid w:val="05E82BC0"/>
    <w:rsid w:val="05E96530"/>
    <w:rsid w:val="0600615C"/>
    <w:rsid w:val="0606346A"/>
    <w:rsid w:val="061F3D33"/>
    <w:rsid w:val="062D0413"/>
    <w:rsid w:val="065E601D"/>
    <w:rsid w:val="06670E1A"/>
    <w:rsid w:val="06A92350"/>
    <w:rsid w:val="06B93462"/>
    <w:rsid w:val="06C90C44"/>
    <w:rsid w:val="06F164EF"/>
    <w:rsid w:val="070B6B66"/>
    <w:rsid w:val="07286F7A"/>
    <w:rsid w:val="073065CD"/>
    <w:rsid w:val="075829D4"/>
    <w:rsid w:val="076F5B99"/>
    <w:rsid w:val="0797275A"/>
    <w:rsid w:val="07A907C7"/>
    <w:rsid w:val="07BE62CF"/>
    <w:rsid w:val="080E12F0"/>
    <w:rsid w:val="084D31AF"/>
    <w:rsid w:val="0858713B"/>
    <w:rsid w:val="08762705"/>
    <w:rsid w:val="08AE5819"/>
    <w:rsid w:val="08BD464A"/>
    <w:rsid w:val="08D50389"/>
    <w:rsid w:val="08EF05D7"/>
    <w:rsid w:val="08EF78F6"/>
    <w:rsid w:val="08FB181D"/>
    <w:rsid w:val="09063360"/>
    <w:rsid w:val="09521F21"/>
    <w:rsid w:val="096078FD"/>
    <w:rsid w:val="096B5FE2"/>
    <w:rsid w:val="096D3B08"/>
    <w:rsid w:val="0971070F"/>
    <w:rsid w:val="09A819DA"/>
    <w:rsid w:val="09D579FA"/>
    <w:rsid w:val="0A050E07"/>
    <w:rsid w:val="0A140428"/>
    <w:rsid w:val="0A27457D"/>
    <w:rsid w:val="0A4F07E0"/>
    <w:rsid w:val="0A63294F"/>
    <w:rsid w:val="0A747118"/>
    <w:rsid w:val="0A92134D"/>
    <w:rsid w:val="0ABC3D53"/>
    <w:rsid w:val="0AC56AF3"/>
    <w:rsid w:val="0AFC5ED2"/>
    <w:rsid w:val="0B175B01"/>
    <w:rsid w:val="0B325009"/>
    <w:rsid w:val="0B8415DD"/>
    <w:rsid w:val="0B8655A8"/>
    <w:rsid w:val="0B8A477C"/>
    <w:rsid w:val="0B94139E"/>
    <w:rsid w:val="0BDF6813"/>
    <w:rsid w:val="0BFE4B3A"/>
    <w:rsid w:val="0C242FE9"/>
    <w:rsid w:val="0C57284E"/>
    <w:rsid w:val="0C641185"/>
    <w:rsid w:val="0C86158C"/>
    <w:rsid w:val="0C9F28F1"/>
    <w:rsid w:val="0CB42CD5"/>
    <w:rsid w:val="0CB7381B"/>
    <w:rsid w:val="0CC1463D"/>
    <w:rsid w:val="0CF10F37"/>
    <w:rsid w:val="0CF34325"/>
    <w:rsid w:val="0D166706"/>
    <w:rsid w:val="0D3E5A0E"/>
    <w:rsid w:val="0D625B94"/>
    <w:rsid w:val="0D693500"/>
    <w:rsid w:val="0D6F6CAA"/>
    <w:rsid w:val="0D9A0C44"/>
    <w:rsid w:val="0D9F49B4"/>
    <w:rsid w:val="0DD37936"/>
    <w:rsid w:val="0DEF3649"/>
    <w:rsid w:val="0DF849F9"/>
    <w:rsid w:val="0E29115B"/>
    <w:rsid w:val="0E480BC8"/>
    <w:rsid w:val="0E4A7631"/>
    <w:rsid w:val="0E7E1CC3"/>
    <w:rsid w:val="0EAC0C2F"/>
    <w:rsid w:val="0EBA7118"/>
    <w:rsid w:val="0ED412C2"/>
    <w:rsid w:val="0ED618C0"/>
    <w:rsid w:val="0EF971CA"/>
    <w:rsid w:val="0F087E2F"/>
    <w:rsid w:val="0F127628"/>
    <w:rsid w:val="0F1D0D8E"/>
    <w:rsid w:val="0F225395"/>
    <w:rsid w:val="0F2A29A0"/>
    <w:rsid w:val="0F325B5E"/>
    <w:rsid w:val="0F3D7571"/>
    <w:rsid w:val="0F8D6F1D"/>
    <w:rsid w:val="0F9608F4"/>
    <w:rsid w:val="0F961A35"/>
    <w:rsid w:val="0F9A4F2B"/>
    <w:rsid w:val="0FAC238A"/>
    <w:rsid w:val="0FB00BF3"/>
    <w:rsid w:val="0FBF66B5"/>
    <w:rsid w:val="0FC338F7"/>
    <w:rsid w:val="0FCB25DD"/>
    <w:rsid w:val="0FE577C8"/>
    <w:rsid w:val="0FEA4CA4"/>
    <w:rsid w:val="0FF80F54"/>
    <w:rsid w:val="0FFF6FF0"/>
    <w:rsid w:val="10101691"/>
    <w:rsid w:val="102534EC"/>
    <w:rsid w:val="103161FA"/>
    <w:rsid w:val="1046354B"/>
    <w:rsid w:val="10555338"/>
    <w:rsid w:val="106936A8"/>
    <w:rsid w:val="10695580"/>
    <w:rsid w:val="108F3402"/>
    <w:rsid w:val="10CA1840"/>
    <w:rsid w:val="10F7722A"/>
    <w:rsid w:val="10FF2916"/>
    <w:rsid w:val="110411F6"/>
    <w:rsid w:val="11495847"/>
    <w:rsid w:val="11953587"/>
    <w:rsid w:val="11A3796E"/>
    <w:rsid w:val="11AF4661"/>
    <w:rsid w:val="11B60016"/>
    <w:rsid w:val="11CA22BA"/>
    <w:rsid w:val="11CE6F37"/>
    <w:rsid w:val="1205614A"/>
    <w:rsid w:val="120A32B5"/>
    <w:rsid w:val="12120240"/>
    <w:rsid w:val="125015B2"/>
    <w:rsid w:val="126530E1"/>
    <w:rsid w:val="1268004B"/>
    <w:rsid w:val="127876A6"/>
    <w:rsid w:val="127E14F6"/>
    <w:rsid w:val="12C052C3"/>
    <w:rsid w:val="12F708E7"/>
    <w:rsid w:val="13232472"/>
    <w:rsid w:val="13394C8B"/>
    <w:rsid w:val="133E6515"/>
    <w:rsid w:val="1359074C"/>
    <w:rsid w:val="1366397E"/>
    <w:rsid w:val="136F66CF"/>
    <w:rsid w:val="137276F3"/>
    <w:rsid w:val="138A1227"/>
    <w:rsid w:val="138C102F"/>
    <w:rsid w:val="13945107"/>
    <w:rsid w:val="13D169D2"/>
    <w:rsid w:val="13DD3420"/>
    <w:rsid w:val="13F6294C"/>
    <w:rsid w:val="1405160A"/>
    <w:rsid w:val="140E5EE8"/>
    <w:rsid w:val="142565E4"/>
    <w:rsid w:val="14293EAC"/>
    <w:rsid w:val="1438665E"/>
    <w:rsid w:val="143D1A6E"/>
    <w:rsid w:val="145769DC"/>
    <w:rsid w:val="1471719C"/>
    <w:rsid w:val="14A975E7"/>
    <w:rsid w:val="14C35937"/>
    <w:rsid w:val="14D91B3C"/>
    <w:rsid w:val="14E77830"/>
    <w:rsid w:val="14EA0703"/>
    <w:rsid w:val="14FB6BE2"/>
    <w:rsid w:val="150002FD"/>
    <w:rsid w:val="153653C8"/>
    <w:rsid w:val="15427476"/>
    <w:rsid w:val="15783F2A"/>
    <w:rsid w:val="158F65E2"/>
    <w:rsid w:val="15CC605B"/>
    <w:rsid w:val="15F1786F"/>
    <w:rsid w:val="15F4257D"/>
    <w:rsid w:val="15F8459B"/>
    <w:rsid w:val="160C44AA"/>
    <w:rsid w:val="16156F39"/>
    <w:rsid w:val="163B0AEA"/>
    <w:rsid w:val="163F43E3"/>
    <w:rsid w:val="166444E5"/>
    <w:rsid w:val="166603FD"/>
    <w:rsid w:val="168241F9"/>
    <w:rsid w:val="16892307"/>
    <w:rsid w:val="1692064E"/>
    <w:rsid w:val="169767BF"/>
    <w:rsid w:val="16976F0A"/>
    <w:rsid w:val="16A37145"/>
    <w:rsid w:val="16B62681"/>
    <w:rsid w:val="16E021B0"/>
    <w:rsid w:val="16EC477F"/>
    <w:rsid w:val="17161C69"/>
    <w:rsid w:val="17D411F6"/>
    <w:rsid w:val="17F33732"/>
    <w:rsid w:val="181A3740"/>
    <w:rsid w:val="18555A73"/>
    <w:rsid w:val="18636913"/>
    <w:rsid w:val="18735600"/>
    <w:rsid w:val="187C73BF"/>
    <w:rsid w:val="18884F84"/>
    <w:rsid w:val="188A2213"/>
    <w:rsid w:val="18F25DD8"/>
    <w:rsid w:val="18F57326"/>
    <w:rsid w:val="18FB340C"/>
    <w:rsid w:val="191E097B"/>
    <w:rsid w:val="19241D0A"/>
    <w:rsid w:val="192A7667"/>
    <w:rsid w:val="194F1F12"/>
    <w:rsid w:val="19632832"/>
    <w:rsid w:val="19734D2A"/>
    <w:rsid w:val="19A91FE3"/>
    <w:rsid w:val="19AC5556"/>
    <w:rsid w:val="19D379B8"/>
    <w:rsid w:val="19F704E3"/>
    <w:rsid w:val="19F900DA"/>
    <w:rsid w:val="1A165AF6"/>
    <w:rsid w:val="1A1E45FF"/>
    <w:rsid w:val="1A27346F"/>
    <w:rsid w:val="1A660973"/>
    <w:rsid w:val="1A6B6F42"/>
    <w:rsid w:val="1A842D61"/>
    <w:rsid w:val="1A845156"/>
    <w:rsid w:val="1AC1116F"/>
    <w:rsid w:val="1ADD120E"/>
    <w:rsid w:val="1AE71A64"/>
    <w:rsid w:val="1B20373D"/>
    <w:rsid w:val="1B222279"/>
    <w:rsid w:val="1B2B2526"/>
    <w:rsid w:val="1B351FAC"/>
    <w:rsid w:val="1B984EEA"/>
    <w:rsid w:val="1B9F7F95"/>
    <w:rsid w:val="1BB0004C"/>
    <w:rsid w:val="1BC5481E"/>
    <w:rsid w:val="1BE47706"/>
    <w:rsid w:val="1BFF140E"/>
    <w:rsid w:val="1C062C22"/>
    <w:rsid w:val="1C17012A"/>
    <w:rsid w:val="1C19367C"/>
    <w:rsid w:val="1C3D77A8"/>
    <w:rsid w:val="1C5366A1"/>
    <w:rsid w:val="1C5B1EE6"/>
    <w:rsid w:val="1C710351"/>
    <w:rsid w:val="1CB14B0B"/>
    <w:rsid w:val="1CB3075C"/>
    <w:rsid w:val="1CBF59E5"/>
    <w:rsid w:val="1CC96E50"/>
    <w:rsid w:val="1CE457F4"/>
    <w:rsid w:val="1CF31C6E"/>
    <w:rsid w:val="1D510B7B"/>
    <w:rsid w:val="1D631AC6"/>
    <w:rsid w:val="1D8124E7"/>
    <w:rsid w:val="1D9B6A3E"/>
    <w:rsid w:val="1DAC6E53"/>
    <w:rsid w:val="1DBF475C"/>
    <w:rsid w:val="1DF04B92"/>
    <w:rsid w:val="1DF50534"/>
    <w:rsid w:val="1DFB7BD2"/>
    <w:rsid w:val="1E0B24FC"/>
    <w:rsid w:val="1E42525C"/>
    <w:rsid w:val="1E580DC1"/>
    <w:rsid w:val="1E724778"/>
    <w:rsid w:val="1E881B1B"/>
    <w:rsid w:val="1EB012C3"/>
    <w:rsid w:val="1EB51141"/>
    <w:rsid w:val="1EBA7398"/>
    <w:rsid w:val="1EC671B0"/>
    <w:rsid w:val="1EE11610"/>
    <w:rsid w:val="1F2D5E39"/>
    <w:rsid w:val="1F38206B"/>
    <w:rsid w:val="1F473B50"/>
    <w:rsid w:val="1F5908E7"/>
    <w:rsid w:val="1F681339"/>
    <w:rsid w:val="1F6D32A1"/>
    <w:rsid w:val="1F850258"/>
    <w:rsid w:val="1F917E5A"/>
    <w:rsid w:val="1FDC15B0"/>
    <w:rsid w:val="1FDD0108"/>
    <w:rsid w:val="1FF71F26"/>
    <w:rsid w:val="1FF73CD4"/>
    <w:rsid w:val="1FF97A4C"/>
    <w:rsid w:val="1FFC6D4D"/>
    <w:rsid w:val="202677EC"/>
    <w:rsid w:val="20504EE9"/>
    <w:rsid w:val="205A1FA0"/>
    <w:rsid w:val="206A22DF"/>
    <w:rsid w:val="206C380B"/>
    <w:rsid w:val="20872F31"/>
    <w:rsid w:val="208C08F7"/>
    <w:rsid w:val="209F3FEE"/>
    <w:rsid w:val="20B23F08"/>
    <w:rsid w:val="20B90F2B"/>
    <w:rsid w:val="20C65874"/>
    <w:rsid w:val="20E406FC"/>
    <w:rsid w:val="20EE7FD1"/>
    <w:rsid w:val="210B68C5"/>
    <w:rsid w:val="21133DFA"/>
    <w:rsid w:val="212A1E87"/>
    <w:rsid w:val="212B3A3B"/>
    <w:rsid w:val="212B42B6"/>
    <w:rsid w:val="214B35AC"/>
    <w:rsid w:val="214C3417"/>
    <w:rsid w:val="215C6A42"/>
    <w:rsid w:val="216E7FC6"/>
    <w:rsid w:val="217D2759"/>
    <w:rsid w:val="21810588"/>
    <w:rsid w:val="21A1119B"/>
    <w:rsid w:val="21B10818"/>
    <w:rsid w:val="21C1459A"/>
    <w:rsid w:val="21DF308D"/>
    <w:rsid w:val="21E45E0F"/>
    <w:rsid w:val="21EE5BF6"/>
    <w:rsid w:val="22027036"/>
    <w:rsid w:val="22075BD8"/>
    <w:rsid w:val="221D0EDC"/>
    <w:rsid w:val="223C16CB"/>
    <w:rsid w:val="22407BB4"/>
    <w:rsid w:val="224522B1"/>
    <w:rsid w:val="22715501"/>
    <w:rsid w:val="22923389"/>
    <w:rsid w:val="22950329"/>
    <w:rsid w:val="229A2295"/>
    <w:rsid w:val="22AA73A9"/>
    <w:rsid w:val="22D00801"/>
    <w:rsid w:val="22F35816"/>
    <w:rsid w:val="230A5A08"/>
    <w:rsid w:val="230A5C9B"/>
    <w:rsid w:val="2310363F"/>
    <w:rsid w:val="232E7A65"/>
    <w:rsid w:val="23303E5D"/>
    <w:rsid w:val="233E5433"/>
    <w:rsid w:val="23600018"/>
    <w:rsid w:val="2360594A"/>
    <w:rsid w:val="239C6A3A"/>
    <w:rsid w:val="239D1668"/>
    <w:rsid w:val="23A05217"/>
    <w:rsid w:val="23E62ADD"/>
    <w:rsid w:val="23ED1676"/>
    <w:rsid w:val="23F073B8"/>
    <w:rsid w:val="2423778D"/>
    <w:rsid w:val="24251B30"/>
    <w:rsid w:val="244B6BBB"/>
    <w:rsid w:val="245A12B2"/>
    <w:rsid w:val="24853FA4"/>
    <w:rsid w:val="249565E9"/>
    <w:rsid w:val="24D5381E"/>
    <w:rsid w:val="24FA7443"/>
    <w:rsid w:val="250F386E"/>
    <w:rsid w:val="252D5902"/>
    <w:rsid w:val="25302768"/>
    <w:rsid w:val="254B1C86"/>
    <w:rsid w:val="255A71DF"/>
    <w:rsid w:val="25657932"/>
    <w:rsid w:val="25827CE3"/>
    <w:rsid w:val="25A025AB"/>
    <w:rsid w:val="25A42D72"/>
    <w:rsid w:val="25B10E34"/>
    <w:rsid w:val="25D92C48"/>
    <w:rsid w:val="25E46AA9"/>
    <w:rsid w:val="25EC2454"/>
    <w:rsid w:val="26265313"/>
    <w:rsid w:val="264063D2"/>
    <w:rsid w:val="264D28A0"/>
    <w:rsid w:val="267F29B7"/>
    <w:rsid w:val="268564DD"/>
    <w:rsid w:val="26911F89"/>
    <w:rsid w:val="269E35F2"/>
    <w:rsid w:val="26BA1C49"/>
    <w:rsid w:val="26D2598A"/>
    <w:rsid w:val="26D450F9"/>
    <w:rsid w:val="26ED1B68"/>
    <w:rsid w:val="2712045F"/>
    <w:rsid w:val="27135897"/>
    <w:rsid w:val="272F37C3"/>
    <w:rsid w:val="27BD3B45"/>
    <w:rsid w:val="27F07987"/>
    <w:rsid w:val="27F82CDF"/>
    <w:rsid w:val="2807180C"/>
    <w:rsid w:val="2852419D"/>
    <w:rsid w:val="285C7C37"/>
    <w:rsid w:val="28817A82"/>
    <w:rsid w:val="28AA1FFD"/>
    <w:rsid w:val="28B40744"/>
    <w:rsid w:val="28CD5F1A"/>
    <w:rsid w:val="28DB5305"/>
    <w:rsid w:val="29151F78"/>
    <w:rsid w:val="291C47AB"/>
    <w:rsid w:val="294F602D"/>
    <w:rsid w:val="29527468"/>
    <w:rsid w:val="295D2C6E"/>
    <w:rsid w:val="296028EA"/>
    <w:rsid w:val="29671CE3"/>
    <w:rsid w:val="296F6E5A"/>
    <w:rsid w:val="29AC6983"/>
    <w:rsid w:val="29BD4243"/>
    <w:rsid w:val="29CF2641"/>
    <w:rsid w:val="29E23D6B"/>
    <w:rsid w:val="29EC5C6C"/>
    <w:rsid w:val="2A3E31A5"/>
    <w:rsid w:val="2A403DA7"/>
    <w:rsid w:val="2A521023"/>
    <w:rsid w:val="2A5F0A96"/>
    <w:rsid w:val="2A834F69"/>
    <w:rsid w:val="2AA27079"/>
    <w:rsid w:val="2AA36F32"/>
    <w:rsid w:val="2AD0584D"/>
    <w:rsid w:val="2AD744B3"/>
    <w:rsid w:val="2AF502A8"/>
    <w:rsid w:val="2B021D33"/>
    <w:rsid w:val="2B0D2B5E"/>
    <w:rsid w:val="2B1971F4"/>
    <w:rsid w:val="2B1E1748"/>
    <w:rsid w:val="2B204A27"/>
    <w:rsid w:val="2B4A5600"/>
    <w:rsid w:val="2B5C4340"/>
    <w:rsid w:val="2B5D4220"/>
    <w:rsid w:val="2B674404"/>
    <w:rsid w:val="2B6D5881"/>
    <w:rsid w:val="2B7E42E1"/>
    <w:rsid w:val="2B824D9A"/>
    <w:rsid w:val="2BB313F7"/>
    <w:rsid w:val="2BF67536"/>
    <w:rsid w:val="2C01509F"/>
    <w:rsid w:val="2C412EA7"/>
    <w:rsid w:val="2C441BED"/>
    <w:rsid w:val="2C6375F7"/>
    <w:rsid w:val="2C72023D"/>
    <w:rsid w:val="2C7F5834"/>
    <w:rsid w:val="2C937F76"/>
    <w:rsid w:val="2CA5796B"/>
    <w:rsid w:val="2CE27196"/>
    <w:rsid w:val="2CF35E7A"/>
    <w:rsid w:val="2D0F05E9"/>
    <w:rsid w:val="2D126075"/>
    <w:rsid w:val="2D585002"/>
    <w:rsid w:val="2D8013F3"/>
    <w:rsid w:val="2D8D4155"/>
    <w:rsid w:val="2D9D14F9"/>
    <w:rsid w:val="2DBA6D12"/>
    <w:rsid w:val="2DE24639"/>
    <w:rsid w:val="2DE95338"/>
    <w:rsid w:val="2DF85C6F"/>
    <w:rsid w:val="2E0C254F"/>
    <w:rsid w:val="2E550417"/>
    <w:rsid w:val="2E6021F6"/>
    <w:rsid w:val="2E8B216A"/>
    <w:rsid w:val="2EA32D46"/>
    <w:rsid w:val="2EC94193"/>
    <w:rsid w:val="2EC94505"/>
    <w:rsid w:val="2ED02FDB"/>
    <w:rsid w:val="2ED76240"/>
    <w:rsid w:val="2F115F90"/>
    <w:rsid w:val="2F400E55"/>
    <w:rsid w:val="2F5572E6"/>
    <w:rsid w:val="2F5A44FC"/>
    <w:rsid w:val="2F8F3F5D"/>
    <w:rsid w:val="2F8F7F69"/>
    <w:rsid w:val="2F9247F6"/>
    <w:rsid w:val="2FAB5D14"/>
    <w:rsid w:val="2FD61B58"/>
    <w:rsid w:val="2FDC7A24"/>
    <w:rsid w:val="3038081D"/>
    <w:rsid w:val="303837B5"/>
    <w:rsid w:val="303C5528"/>
    <w:rsid w:val="305A423B"/>
    <w:rsid w:val="30623696"/>
    <w:rsid w:val="306453B6"/>
    <w:rsid w:val="30AC7390"/>
    <w:rsid w:val="30B86170"/>
    <w:rsid w:val="30C10294"/>
    <w:rsid w:val="30DB41FD"/>
    <w:rsid w:val="30E326CD"/>
    <w:rsid w:val="30F57DBC"/>
    <w:rsid w:val="31232B7B"/>
    <w:rsid w:val="31232DDF"/>
    <w:rsid w:val="31317D40"/>
    <w:rsid w:val="31350BB7"/>
    <w:rsid w:val="31401232"/>
    <w:rsid w:val="31490108"/>
    <w:rsid w:val="314D19A6"/>
    <w:rsid w:val="316513E5"/>
    <w:rsid w:val="3196012A"/>
    <w:rsid w:val="319A0E2B"/>
    <w:rsid w:val="31B55E35"/>
    <w:rsid w:val="31B930AC"/>
    <w:rsid w:val="31CD0CE7"/>
    <w:rsid w:val="31DE7709"/>
    <w:rsid w:val="31E35609"/>
    <w:rsid w:val="31EC5663"/>
    <w:rsid w:val="31FB468E"/>
    <w:rsid w:val="31FC307E"/>
    <w:rsid w:val="32226207"/>
    <w:rsid w:val="32400E36"/>
    <w:rsid w:val="32C56DA4"/>
    <w:rsid w:val="32EB4802"/>
    <w:rsid w:val="33196556"/>
    <w:rsid w:val="331F67D0"/>
    <w:rsid w:val="33460769"/>
    <w:rsid w:val="33654395"/>
    <w:rsid w:val="337349D1"/>
    <w:rsid w:val="337A2D92"/>
    <w:rsid w:val="337C6BEC"/>
    <w:rsid w:val="3383112B"/>
    <w:rsid w:val="33C551F0"/>
    <w:rsid w:val="33D21752"/>
    <w:rsid w:val="33D57D25"/>
    <w:rsid w:val="33F22CD8"/>
    <w:rsid w:val="340A6274"/>
    <w:rsid w:val="340E3279"/>
    <w:rsid w:val="342C7F98"/>
    <w:rsid w:val="343D55E2"/>
    <w:rsid w:val="34682EB0"/>
    <w:rsid w:val="34A155B4"/>
    <w:rsid w:val="34A26E1C"/>
    <w:rsid w:val="34B03C13"/>
    <w:rsid w:val="34C00A08"/>
    <w:rsid w:val="34EC2A15"/>
    <w:rsid w:val="34F14D3E"/>
    <w:rsid w:val="35037CC1"/>
    <w:rsid w:val="35094242"/>
    <w:rsid w:val="351802B1"/>
    <w:rsid w:val="351B6812"/>
    <w:rsid w:val="35327830"/>
    <w:rsid w:val="35330690"/>
    <w:rsid w:val="355748A5"/>
    <w:rsid w:val="356B1CC2"/>
    <w:rsid w:val="356E3D56"/>
    <w:rsid w:val="357029E2"/>
    <w:rsid w:val="35972EC8"/>
    <w:rsid w:val="359F6F05"/>
    <w:rsid w:val="35B13165"/>
    <w:rsid w:val="35B51609"/>
    <w:rsid w:val="35FF63F9"/>
    <w:rsid w:val="36054433"/>
    <w:rsid w:val="363D6170"/>
    <w:rsid w:val="366267EE"/>
    <w:rsid w:val="36663603"/>
    <w:rsid w:val="369B31B3"/>
    <w:rsid w:val="36C344B8"/>
    <w:rsid w:val="36DB0D76"/>
    <w:rsid w:val="36ED7BDE"/>
    <w:rsid w:val="36F57BAE"/>
    <w:rsid w:val="36FB7749"/>
    <w:rsid w:val="370263E9"/>
    <w:rsid w:val="371F41F5"/>
    <w:rsid w:val="3756082E"/>
    <w:rsid w:val="375717D0"/>
    <w:rsid w:val="37677539"/>
    <w:rsid w:val="37690A68"/>
    <w:rsid w:val="3797194D"/>
    <w:rsid w:val="37B274EB"/>
    <w:rsid w:val="37F737C1"/>
    <w:rsid w:val="38003C16"/>
    <w:rsid w:val="38044784"/>
    <w:rsid w:val="382D1D35"/>
    <w:rsid w:val="384148C6"/>
    <w:rsid w:val="3882172C"/>
    <w:rsid w:val="388611C9"/>
    <w:rsid w:val="388C294A"/>
    <w:rsid w:val="389205E6"/>
    <w:rsid w:val="389918B8"/>
    <w:rsid w:val="38C06F01"/>
    <w:rsid w:val="38CD4ED8"/>
    <w:rsid w:val="38D40944"/>
    <w:rsid w:val="391B48F1"/>
    <w:rsid w:val="391B523E"/>
    <w:rsid w:val="391F00CC"/>
    <w:rsid w:val="39434935"/>
    <w:rsid w:val="39756497"/>
    <w:rsid w:val="3992407F"/>
    <w:rsid w:val="39973535"/>
    <w:rsid w:val="39BD559E"/>
    <w:rsid w:val="39C230A1"/>
    <w:rsid w:val="39C71211"/>
    <w:rsid w:val="39C80A8D"/>
    <w:rsid w:val="39F03816"/>
    <w:rsid w:val="3A5E22ED"/>
    <w:rsid w:val="3ABB4729"/>
    <w:rsid w:val="3AC85CD4"/>
    <w:rsid w:val="3B084EF9"/>
    <w:rsid w:val="3B1D4ADF"/>
    <w:rsid w:val="3B223BFA"/>
    <w:rsid w:val="3B312338"/>
    <w:rsid w:val="3B641ACD"/>
    <w:rsid w:val="3B653D90"/>
    <w:rsid w:val="3B8C712B"/>
    <w:rsid w:val="3B9F6EEE"/>
    <w:rsid w:val="3B9F72A2"/>
    <w:rsid w:val="3BA448B8"/>
    <w:rsid w:val="3BD056AD"/>
    <w:rsid w:val="3BD6350C"/>
    <w:rsid w:val="3BEE5995"/>
    <w:rsid w:val="3C3107DE"/>
    <w:rsid w:val="3C5305AA"/>
    <w:rsid w:val="3C605199"/>
    <w:rsid w:val="3C622856"/>
    <w:rsid w:val="3C695929"/>
    <w:rsid w:val="3C84126C"/>
    <w:rsid w:val="3C887A47"/>
    <w:rsid w:val="3C8D0372"/>
    <w:rsid w:val="3C8E2D0E"/>
    <w:rsid w:val="3C9352DD"/>
    <w:rsid w:val="3C9A10AB"/>
    <w:rsid w:val="3CB018DA"/>
    <w:rsid w:val="3CB73C75"/>
    <w:rsid w:val="3CE27D8E"/>
    <w:rsid w:val="3CF73A21"/>
    <w:rsid w:val="3D136199"/>
    <w:rsid w:val="3D234A90"/>
    <w:rsid w:val="3D516FF3"/>
    <w:rsid w:val="3D5441A9"/>
    <w:rsid w:val="3D6A5F84"/>
    <w:rsid w:val="3D810976"/>
    <w:rsid w:val="3D926879"/>
    <w:rsid w:val="3D980F2D"/>
    <w:rsid w:val="3DAD6E4A"/>
    <w:rsid w:val="3DB13215"/>
    <w:rsid w:val="3DB90469"/>
    <w:rsid w:val="3DDE61F8"/>
    <w:rsid w:val="3DF22256"/>
    <w:rsid w:val="3E4C2381"/>
    <w:rsid w:val="3E4E6459"/>
    <w:rsid w:val="3E50426F"/>
    <w:rsid w:val="3E512813"/>
    <w:rsid w:val="3E5B7216"/>
    <w:rsid w:val="3E6253B4"/>
    <w:rsid w:val="3E631F83"/>
    <w:rsid w:val="3E7B3519"/>
    <w:rsid w:val="3E8F7AA2"/>
    <w:rsid w:val="3E9A6446"/>
    <w:rsid w:val="3EAB7D8C"/>
    <w:rsid w:val="3EE333B3"/>
    <w:rsid w:val="3EE76488"/>
    <w:rsid w:val="3F010273"/>
    <w:rsid w:val="3F177A97"/>
    <w:rsid w:val="3F2226C4"/>
    <w:rsid w:val="3F301572"/>
    <w:rsid w:val="3F3574D5"/>
    <w:rsid w:val="3F512FA9"/>
    <w:rsid w:val="3F96618B"/>
    <w:rsid w:val="3FBB0422"/>
    <w:rsid w:val="3FD9785C"/>
    <w:rsid w:val="3FF97C67"/>
    <w:rsid w:val="40095727"/>
    <w:rsid w:val="401A527D"/>
    <w:rsid w:val="40212FAA"/>
    <w:rsid w:val="402B55A8"/>
    <w:rsid w:val="402D451B"/>
    <w:rsid w:val="403D6C19"/>
    <w:rsid w:val="404C67A7"/>
    <w:rsid w:val="4070195C"/>
    <w:rsid w:val="407559F5"/>
    <w:rsid w:val="407A02DD"/>
    <w:rsid w:val="407D52F7"/>
    <w:rsid w:val="4098056D"/>
    <w:rsid w:val="40A958CC"/>
    <w:rsid w:val="40CE0C2F"/>
    <w:rsid w:val="41546D80"/>
    <w:rsid w:val="415E19AD"/>
    <w:rsid w:val="417B0A96"/>
    <w:rsid w:val="417D2532"/>
    <w:rsid w:val="41CC2DBB"/>
    <w:rsid w:val="41E54F0E"/>
    <w:rsid w:val="41F70DC7"/>
    <w:rsid w:val="42051BC8"/>
    <w:rsid w:val="4223603C"/>
    <w:rsid w:val="42373CAB"/>
    <w:rsid w:val="42A4204C"/>
    <w:rsid w:val="42A653BA"/>
    <w:rsid w:val="42C76A0A"/>
    <w:rsid w:val="42D12DF4"/>
    <w:rsid w:val="42DD71E2"/>
    <w:rsid w:val="431077DF"/>
    <w:rsid w:val="433B2D12"/>
    <w:rsid w:val="434C02F7"/>
    <w:rsid w:val="4366315A"/>
    <w:rsid w:val="437E699C"/>
    <w:rsid w:val="439114E7"/>
    <w:rsid w:val="43931DE2"/>
    <w:rsid w:val="439E22AC"/>
    <w:rsid w:val="43D877F5"/>
    <w:rsid w:val="43E93FEC"/>
    <w:rsid w:val="43FC0906"/>
    <w:rsid w:val="440A7CA0"/>
    <w:rsid w:val="441D5B50"/>
    <w:rsid w:val="442C3E70"/>
    <w:rsid w:val="443D361B"/>
    <w:rsid w:val="445171B1"/>
    <w:rsid w:val="445826E4"/>
    <w:rsid w:val="449F6565"/>
    <w:rsid w:val="44A4522B"/>
    <w:rsid w:val="44E830C5"/>
    <w:rsid w:val="44ED72D0"/>
    <w:rsid w:val="44F56AD9"/>
    <w:rsid w:val="4502109A"/>
    <w:rsid w:val="451E1B7F"/>
    <w:rsid w:val="453D2ABE"/>
    <w:rsid w:val="454B2248"/>
    <w:rsid w:val="45744240"/>
    <w:rsid w:val="45815C6A"/>
    <w:rsid w:val="458F7DBD"/>
    <w:rsid w:val="45D364DE"/>
    <w:rsid w:val="45DE30BD"/>
    <w:rsid w:val="46217A07"/>
    <w:rsid w:val="46253BFB"/>
    <w:rsid w:val="46AA0762"/>
    <w:rsid w:val="46B403A6"/>
    <w:rsid w:val="46BC111E"/>
    <w:rsid w:val="46D971E6"/>
    <w:rsid w:val="46E55531"/>
    <w:rsid w:val="470B69A7"/>
    <w:rsid w:val="470D1834"/>
    <w:rsid w:val="471054F8"/>
    <w:rsid w:val="47266AC9"/>
    <w:rsid w:val="472D7E58"/>
    <w:rsid w:val="4743767B"/>
    <w:rsid w:val="475243A0"/>
    <w:rsid w:val="47750AE1"/>
    <w:rsid w:val="47A678FB"/>
    <w:rsid w:val="47B440D5"/>
    <w:rsid w:val="47BE6D02"/>
    <w:rsid w:val="47E93FFD"/>
    <w:rsid w:val="47EA7AF7"/>
    <w:rsid w:val="481D25EB"/>
    <w:rsid w:val="482640F1"/>
    <w:rsid w:val="483B18A7"/>
    <w:rsid w:val="486C65A6"/>
    <w:rsid w:val="48AC405E"/>
    <w:rsid w:val="48B65B6A"/>
    <w:rsid w:val="48BC6162"/>
    <w:rsid w:val="48C70589"/>
    <w:rsid w:val="49431BB4"/>
    <w:rsid w:val="496A2D5C"/>
    <w:rsid w:val="49A26FD6"/>
    <w:rsid w:val="49AA617D"/>
    <w:rsid w:val="49C16392"/>
    <w:rsid w:val="49D12163"/>
    <w:rsid w:val="49EB5DA8"/>
    <w:rsid w:val="4A143C74"/>
    <w:rsid w:val="4A191BC7"/>
    <w:rsid w:val="4A2644D8"/>
    <w:rsid w:val="4A4A6DC5"/>
    <w:rsid w:val="4A82426B"/>
    <w:rsid w:val="4AA03036"/>
    <w:rsid w:val="4AE178D7"/>
    <w:rsid w:val="4AE42A74"/>
    <w:rsid w:val="4B1515E6"/>
    <w:rsid w:val="4B296C4D"/>
    <w:rsid w:val="4B7D5336"/>
    <w:rsid w:val="4B8464B4"/>
    <w:rsid w:val="4B9861E6"/>
    <w:rsid w:val="4BB245D9"/>
    <w:rsid w:val="4BC85F53"/>
    <w:rsid w:val="4BCD39B7"/>
    <w:rsid w:val="4BCD605F"/>
    <w:rsid w:val="4BE44B0D"/>
    <w:rsid w:val="4BEB0C3E"/>
    <w:rsid w:val="4C110CA5"/>
    <w:rsid w:val="4C302509"/>
    <w:rsid w:val="4C3B3017"/>
    <w:rsid w:val="4C547C35"/>
    <w:rsid w:val="4C57332B"/>
    <w:rsid w:val="4C8E55BC"/>
    <w:rsid w:val="4C8E66FB"/>
    <w:rsid w:val="4C984D12"/>
    <w:rsid w:val="4C9E35A6"/>
    <w:rsid w:val="4CFF7D25"/>
    <w:rsid w:val="4D1D096E"/>
    <w:rsid w:val="4D1F09C9"/>
    <w:rsid w:val="4D492C42"/>
    <w:rsid w:val="4D725366"/>
    <w:rsid w:val="4D846A8F"/>
    <w:rsid w:val="4DCA589B"/>
    <w:rsid w:val="4E07394C"/>
    <w:rsid w:val="4E0A20C3"/>
    <w:rsid w:val="4E17716C"/>
    <w:rsid w:val="4E4C249E"/>
    <w:rsid w:val="4E507E42"/>
    <w:rsid w:val="4E5A1DC3"/>
    <w:rsid w:val="4E7319B9"/>
    <w:rsid w:val="4E806905"/>
    <w:rsid w:val="4EAC06BA"/>
    <w:rsid w:val="4ED05B9C"/>
    <w:rsid w:val="4ED80DF5"/>
    <w:rsid w:val="4ED919CB"/>
    <w:rsid w:val="4EEC684A"/>
    <w:rsid w:val="4F09488B"/>
    <w:rsid w:val="4F2D0814"/>
    <w:rsid w:val="4F460C2D"/>
    <w:rsid w:val="4F577103"/>
    <w:rsid w:val="4FBA5DCD"/>
    <w:rsid w:val="4FBB0051"/>
    <w:rsid w:val="4FC60E49"/>
    <w:rsid w:val="4FD94515"/>
    <w:rsid w:val="4FDF3F28"/>
    <w:rsid w:val="4FF62909"/>
    <w:rsid w:val="506348EA"/>
    <w:rsid w:val="507B573E"/>
    <w:rsid w:val="50A221F9"/>
    <w:rsid w:val="50AD025B"/>
    <w:rsid w:val="50B255C3"/>
    <w:rsid w:val="50C64E79"/>
    <w:rsid w:val="50EB26D1"/>
    <w:rsid w:val="50EE2CD7"/>
    <w:rsid w:val="51010BB1"/>
    <w:rsid w:val="511F2F07"/>
    <w:rsid w:val="51343C8C"/>
    <w:rsid w:val="51475FBA"/>
    <w:rsid w:val="515A6DDC"/>
    <w:rsid w:val="51730B5D"/>
    <w:rsid w:val="51763770"/>
    <w:rsid w:val="51954F77"/>
    <w:rsid w:val="519A433C"/>
    <w:rsid w:val="51D53910"/>
    <w:rsid w:val="51E6783E"/>
    <w:rsid w:val="522D3402"/>
    <w:rsid w:val="52374280"/>
    <w:rsid w:val="5251037B"/>
    <w:rsid w:val="52510F3A"/>
    <w:rsid w:val="5271155E"/>
    <w:rsid w:val="52940ADB"/>
    <w:rsid w:val="52994B9F"/>
    <w:rsid w:val="52AD0E83"/>
    <w:rsid w:val="52D1331E"/>
    <w:rsid w:val="52E46611"/>
    <w:rsid w:val="532F4F57"/>
    <w:rsid w:val="534A7FE3"/>
    <w:rsid w:val="534F73A8"/>
    <w:rsid w:val="53672943"/>
    <w:rsid w:val="536D43F8"/>
    <w:rsid w:val="5376432E"/>
    <w:rsid w:val="53842339"/>
    <w:rsid w:val="53936493"/>
    <w:rsid w:val="539B0EFA"/>
    <w:rsid w:val="53D55B79"/>
    <w:rsid w:val="53F65A75"/>
    <w:rsid w:val="542760FB"/>
    <w:rsid w:val="54302D35"/>
    <w:rsid w:val="54BB1F57"/>
    <w:rsid w:val="54C67B66"/>
    <w:rsid w:val="54CC25C1"/>
    <w:rsid w:val="54D74791"/>
    <w:rsid w:val="54DC2B02"/>
    <w:rsid w:val="54F326AE"/>
    <w:rsid w:val="54FA4BAF"/>
    <w:rsid w:val="54FD6B73"/>
    <w:rsid w:val="55744B4B"/>
    <w:rsid w:val="55782BE6"/>
    <w:rsid w:val="55AE1BC8"/>
    <w:rsid w:val="55B9005C"/>
    <w:rsid w:val="55FB55C5"/>
    <w:rsid w:val="56206DD9"/>
    <w:rsid w:val="565D002E"/>
    <w:rsid w:val="5698784E"/>
    <w:rsid w:val="569F4812"/>
    <w:rsid w:val="56A7547E"/>
    <w:rsid w:val="56C10C88"/>
    <w:rsid w:val="56C854A7"/>
    <w:rsid w:val="56D71B8E"/>
    <w:rsid w:val="56EE3F4D"/>
    <w:rsid w:val="56EE4427"/>
    <w:rsid w:val="57030BD5"/>
    <w:rsid w:val="57395586"/>
    <w:rsid w:val="57544F8D"/>
    <w:rsid w:val="57620A9D"/>
    <w:rsid w:val="57723665"/>
    <w:rsid w:val="579E344A"/>
    <w:rsid w:val="57A109C4"/>
    <w:rsid w:val="57D067F5"/>
    <w:rsid w:val="57D85BBE"/>
    <w:rsid w:val="57EE48F7"/>
    <w:rsid w:val="57F46EB6"/>
    <w:rsid w:val="582351DE"/>
    <w:rsid w:val="585F1E3B"/>
    <w:rsid w:val="58651AA8"/>
    <w:rsid w:val="586E2379"/>
    <w:rsid w:val="58704692"/>
    <w:rsid w:val="588D043D"/>
    <w:rsid w:val="588F3BE3"/>
    <w:rsid w:val="5896009F"/>
    <w:rsid w:val="58BC4CEE"/>
    <w:rsid w:val="58CD7EEF"/>
    <w:rsid w:val="58D03034"/>
    <w:rsid w:val="58D73AB6"/>
    <w:rsid w:val="58DC7DBD"/>
    <w:rsid w:val="58E42D1D"/>
    <w:rsid w:val="58E707AC"/>
    <w:rsid w:val="58F468D9"/>
    <w:rsid w:val="58F5454D"/>
    <w:rsid w:val="59162399"/>
    <w:rsid w:val="592D09C5"/>
    <w:rsid w:val="59486D73"/>
    <w:rsid w:val="5955323E"/>
    <w:rsid w:val="59781857"/>
    <w:rsid w:val="59854D8F"/>
    <w:rsid w:val="59C26B97"/>
    <w:rsid w:val="59E10417"/>
    <w:rsid w:val="5A04713E"/>
    <w:rsid w:val="5A151432"/>
    <w:rsid w:val="5A3B01AC"/>
    <w:rsid w:val="5A7B6CD4"/>
    <w:rsid w:val="5A891895"/>
    <w:rsid w:val="5A8F0502"/>
    <w:rsid w:val="5AD72982"/>
    <w:rsid w:val="5AD87C08"/>
    <w:rsid w:val="5AF30F60"/>
    <w:rsid w:val="5AFF7C9B"/>
    <w:rsid w:val="5B0474EE"/>
    <w:rsid w:val="5B351579"/>
    <w:rsid w:val="5B5154DF"/>
    <w:rsid w:val="5B5D6CB7"/>
    <w:rsid w:val="5B94004E"/>
    <w:rsid w:val="5BB634EF"/>
    <w:rsid w:val="5BBA46B0"/>
    <w:rsid w:val="5C13554F"/>
    <w:rsid w:val="5C2921BD"/>
    <w:rsid w:val="5C293E10"/>
    <w:rsid w:val="5C295FAD"/>
    <w:rsid w:val="5C313AEE"/>
    <w:rsid w:val="5C4F4919"/>
    <w:rsid w:val="5C5F68AD"/>
    <w:rsid w:val="5C9D587A"/>
    <w:rsid w:val="5CB70498"/>
    <w:rsid w:val="5CBE486A"/>
    <w:rsid w:val="5CBF734C"/>
    <w:rsid w:val="5CC93D27"/>
    <w:rsid w:val="5CCF5786"/>
    <w:rsid w:val="5CDC43A6"/>
    <w:rsid w:val="5D0C307D"/>
    <w:rsid w:val="5D301FF8"/>
    <w:rsid w:val="5D414F2B"/>
    <w:rsid w:val="5D60219B"/>
    <w:rsid w:val="5D746389"/>
    <w:rsid w:val="5D7E05D6"/>
    <w:rsid w:val="5DB10C81"/>
    <w:rsid w:val="5DB1232E"/>
    <w:rsid w:val="5DB16193"/>
    <w:rsid w:val="5DBA7B13"/>
    <w:rsid w:val="5DDE7CA6"/>
    <w:rsid w:val="5DEC23C3"/>
    <w:rsid w:val="5DF91E02"/>
    <w:rsid w:val="5E0D6802"/>
    <w:rsid w:val="5E16050E"/>
    <w:rsid w:val="5E203E1A"/>
    <w:rsid w:val="5E351E20"/>
    <w:rsid w:val="5E540613"/>
    <w:rsid w:val="5E601B89"/>
    <w:rsid w:val="5E6606AF"/>
    <w:rsid w:val="5EA07923"/>
    <w:rsid w:val="5EB132C1"/>
    <w:rsid w:val="5ED35331"/>
    <w:rsid w:val="5ED76EAB"/>
    <w:rsid w:val="5EDA221B"/>
    <w:rsid w:val="5EDF3926"/>
    <w:rsid w:val="5F090D52"/>
    <w:rsid w:val="5F10335F"/>
    <w:rsid w:val="5F131521"/>
    <w:rsid w:val="5F3F29C6"/>
    <w:rsid w:val="5F583B22"/>
    <w:rsid w:val="5F5A7800"/>
    <w:rsid w:val="5F684CC6"/>
    <w:rsid w:val="5F685A79"/>
    <w:rsid w:val="5FA50834"/>
    <w:rsid w:val="5FAB1E0A"/>
    <w:rsid w:val="5FB52C88"/>
    <w:rsid w:val="5FE17AD8"/>
    <w:rsid w:val="60103202"/>
    <w:rsid w:val="6014374B"/>
    <w:rsid w:val="6022314A"/>
    <w:rsid w:val="605514B9"/>
    <w:rsid w:val="606477B0"/>
    <w:rsid w:val="60784CBE"/>
    <w:rsid w:val="60904D9F"/>
    <w:rsid w:val="60981C8F"/>
    <w:rsid w:val="60986E03"/>
    <w:rsid w:val="60C2565D"/>
    <w:rsid w:val="60C90799"/>
    <w:rsid w:val="60CB49BC"/>
    <w:rsid w:val="60E53291"/>
    <w:rsid w:val="60EE3DE6"/>
    <w:rsid w:val="60FA0D27"/>
    <w:rsid w:val="61272262"/>
    <w:rsid w:val="612F6461"/>
    <w:rsid w:val="615A5895"/>
    <w:rsid w:val="61684630"/>
    <w:rsid w:val="61A44C5B"/>
    <w:rsid w:val="61A95173"/>
    <w:rsid w:val="61AF619D"/>
    <w:rsid w:val="61D43CB8"/>
    <w:rsid w:val="61D61BF2"/>
    <w:rsid w:val="61F62B25"/>
    <w:rsid w:val="61FC06FB"/>
    <w:rsid w:val="620F1351"/>
    <w:rsid w:val="623B56C7"/>
    <w:rsid w:val="62407622"/>
    <w:rsid w:val="62507C9B"/>
    <w:rsid w:val="626841C4"/>
    <w:rsid w:val="6283706E"/>
    <w:rsid w:val="628801E0"/>
    <w:rsid w:val="628C136C"/>
    <w:rsid w:val="62C64AFB"/>
    <w:rsid w:val="62F560A9"/>
    <w:rsid w:val="62FA20CA"/>
    <w:rsid w:val="633E248C"/>
    <w:rsid w:val="636B6377"/>
    <w:rsid w:val="636E73D6"/>
    <w:rsid w:val="63995B38"/>
    <w:rsid w:val="63AB23D8"/>
    <w:rsid w:val="63EE0517"/>
    <w:rsid w:val="63FB781E"/>
    <w:rsid w:val="64104931"/>
    <w:rsid w:val="64235D46"/>
    <w:rsid w:val="6454481E"/>
    <w:rsid w:val="6477471D"/>
    <w:rsid w:val="647C4410"/>
    <w:rsid w:val="64800857"/>
    <w:rsid w:val="64995843"/>
    <w:rsid w:val="649E1F3D"/>
    <w:rsid w:val="64A92D88"/>
    <w:rsid w:val="64AF414A"/>
    <w:rsid w:val="64C50777"/>
    <w:rsid w:val="64E06B2F"/>
    <w:rsid w:val="64E42046"/>
    <w:rsid w:val="653F54CE"/>
    <w:rsid w:val="65523D8C"/>
    <w:rsid w:val="65551864"/>
    <w:rsid w:val="65B03CD6"/>
    <w:rsid w:val="65B86A3A"/>
    <w:rsid w:val="65BF660F"/>
    <w:rsid w:val="65FC53A9"/>
    <w:rsid w:val="661A0A16"/>
    <w:rsid w:val="6660348D"/>
    <w:rsid w:val="66BB1AFB"/>
    <w:rsid w:val="66E873CE"/>
    <w:rsid w:val="66FF620C"/>
    <w:rsid w:val="670C5884"/>
    <w:rsid w:val="670D1E38"/>
    <w:rsid w:val="670F257E"/>
    <w:rsid w:val="67234782"/>
    <w:rsid w:val="674D0403"/>
    <w:rsid w:val="67581F78"/>
    <w:rsid w:val="675B0EDB"/>
    <w:rsid w:val="67753429"/>
    <w:rsid w:val="678D6547"/>
    <w:rsid w:val="679118E5"/>
    <w:rsid w:val="67993A62"/>
    <w:rsid w:val="67B4156D"/>
    <w:rsid w:val="67D04F06"/>
    <w:rsid w:val="67FC1454"/>
    <w:rsid w:val="68093B71"/>
    <w:rsid w:val="68297D70"/>
    <w:rsid w:val="682E182A"/>
    <w:rsid w:val="684D2A83"/>
    <w:rsid w:val="686C679E"/>
    <w:rsid w:val="68726A83"/>
    <w:rsid w:val="687D507D"/>
    <w:rsid w:val="687E1949"/>
    <w:rsid w:val="687F65CF"/>
    <w:rsid w:val="689627BF"/>
    <w:rsid w:val="68B033C6"/>
    <w:rsid w:val="68B366C3"/>
    <w:rsid w:val="68C366AD"/>
    <w:rsid w:val="68D669B3"/>
    <w:rsid w:val="68E82B1D"/>
    <w:rsid w:val="68EC4BE3"/>
    <w:rsid w:val="68F14C3B"/>
    <w:rsid w:val="68FD4196"/>
    <w:rsid w:val="69026F3E"/>
    <w:rsid w:val="6905258B"/>
    <w:rsid w:val="690A5DF3"/>
    <w:rsid w:val="69532264"/>
    <w:rsid w:val="696C03D9"/>
    <w:rsid w:val="696D283E"/>
    <w:rsid w:val="696E0E05"/>
    <w:rsid w:val="69985765"/>
    <w:rsid w:val="69AC2A06"/>
    <w:rsid w:val="69E5007A"/>
    <w:rsid w:val="69F83E9D"/>
    <w:rsid w:val="6A08250F"/>
    <w:rsid w:val="6A5A3F18"/>
    <w:rsid w:val="6A601B42"/>
    <w:rsid w:val="6A6B28B0"/>
    <w:rsid w:val="6A723C50"/>
    <w:rsid w:val="6A7752CC"/>
    <w:rsid w:val="6A7A225A"/>
    <w:rsid w:val="6A8C014E"/>
    <w:rsid w:val="6B13430A"/>
    <w:rsid w:val="6B1F108E"/>
    <w:rsid w:val="6B200956"/>
    <w:rsid w:val="6B200C67"/>
    <w:rsid w:val="6B39716E"/>
    <w:rsid w:val="6B5577B9"/>
    <w:rsid w:val="6B621F16"/>
    <w:rsid w:val="6BBA58AE"/>
    <w:rsid w:val="6BBB3D75"/>
    <w:rsid w:val="6BBF1117"/>
    <w:rsid w:val="6BC31576"/>
    <w:rsid w:val="6BE30815"/>
    <w:rsid w:val="6BE648F5"/>
    <w:rsid w:val="6C031950"/>
    <w:rsid w:val="6C0C59DE"/>
    <w:rsid w:val="6C282EA6"/>
    <w:rsid w:val="6C3D64DF"/>
    <w:rsid w:val="6C5676F9"/>
    <w:rsid w:val="6C6121CE"/>
    <w:rsid w:val="6C790960"/>
    <w:rsid w:val="6CB9566A"/>
    <w:rsid w:val="6CC13DA5"/>
    <w:rsid w:val="6CD00510"/>
    <w:rsid w:val="6CF37071"/>
    <w:rsid w:val="6D0E7EFE"/>
    <w:rsid w:val="6D3A4D72"/>
    <w:rsid w:val="6D5E02F2"/>
    <w:rsid w:val="6D604192"/>
    <w:rsid w:val="6DA52244"/>
    <w:rsid w:val="6DBE3B95"/>
    <w:rsid w:val="6DC26C9C"/>
    <w:rsid w:val="6DDB15A5"/>
    <w:rsid w:val="6DE970EA"/>
    <w:rsid w:val="6DFD5F26"/>
    <w:rsid w:val="6DFE08FF"/>
    <w:rsid w:val="6E25722B"/>
    <w:rsid w:val="6E3B6A4F"/>
    <w:rsid w:val="6E442C8C"/>
    <w:rsid w:val="6E9C4188"/>
    <w:rsid w:val="6EAC5256"/>
    <w:rsid w:val="6F3567FC"/>
    <w:rsid w:val="6F3D2C98"/>
    <w:rsid w:val="6FC05988"/>
    <w:rsid w:val="6FCD1928"/>
    <w:rsid w:val="702249EF"/>
    <w:rsid w:val="703D085C"/>
    <w:rsid w:val="70AE5D27"/>
    <w:rsid w:val="70CA35FF"/>
    <w:rsid w:val="70CC398E"/>
    <w:rsid w:val="70DA6A73"/>
    <w:rsid w:val="71177FFC"/>
    <w:rsid w:val="71242C29"/>
    <w:rsid w:val="7124415D"/>
    <w:rsid w:val="71304C27"/>
    <w:rsid w:val="714F6012"/>
    <w:rsid w:val="71C3481B"/>
    <w:rsid w:val="71E57B96"/>
    <w:rsid w:val="71FB7940"/>
    <w:rsid w:val="71FD4E21"/>
    <w:rsid w:val="7245728A"/>
    <w:rsid w:val="72773B5A"/>
    <w:rsid w:val="72AE3D8E"/>
    <w:rsid w:val="72B34AB3"/>
    <w:rsid w:val="72F01942"/>
    <w:rsid w:val="72FA2A34"/>
    <w:rsid w:val="72FF3889"/>
    <w:rsid w:val="731A6C33"/>
    <w:rsid w:val="73412411"/>
    <w:rsid w:val="734D0C92"/>
    <w:rsid w:val="7373675E"/>
    <w:rsid w:val="73760E65"/>
    <w:rsid w:val="737B6C82"/>
    <w:rsid w:val="739509AF"/>
    <w:rsid w:val="739E1612"/>
    <w:rsid w:val="73A07696"/>
    <w:rsid w:val="73BE3AE7"/>
    <w:rsid w:val="73C17635"/>
    <w:rsid w:val="73C848E1"/>
    <w:rsid w:val="73C85927"/>
    <w:rsid w:val="73D36E1C"/>
    <w:rsid w:val="73F1233D"/>
    <w:rsid w:val="73F55197"/>
    <w:rsid w:val="74035919"/>
    <w:rsid w:val="74045207"/>
    <w:rsid w:val="740650AA"/>
    <w:rsid w:val="74266FF6"/>
    <w:rsid w:val="745360B6"/>
    <w:rsid w:val="7459124B"/>
    <w:rsid w:val="7467234B"/>
    <w:rsid w:val="74691C1A"/>
    <w:rsid w:val="7499627D"/>
    <w:rsid w:val="74BF3F35"/>
    <w:rsid w:val="74C811C6"/>
    <w:rsid w:val="74FE7FE0"/>
    <w:rsid w:val="75103FFB"/>
    <w:rsid w:val="75275372"/>
    <w:rsid w:val="755503F6"/>
    <w:rsid w:val="75784AAA"/>
    <w:rsid w:val="75805D1C"/>
    <w:rsid w:val="75A919FC"/>
    <w:rsid w:val="75B52801"/>
    <w:rsid w:val="75D315DC"/>
    <w:rsid w:val="75DB0E7D"/>
    <w:rsid w:val="75FF729B"/>
    <w:rsid w:val="7638708C"/>
    <w:rsid w:val="7640656F"/>
    <w:rsid w:val="765128A3"/>
    <w:rsid w:val="765C57B4"/>
    <w:rsid w:val="76A50F09"/>
    <w:rsid w:val="76B13D52"/>
    <w:rsid w:val="76C410FF"/>
    <w:rsid w:val="771E76C3"/>
    <w:rsid w:val="77212C85"/>
    <w:rsid w:val="77325C49"/>
    <w:rsid w:val="773947FB"/>
    <w:rsid w:val="775B3E21"/>
    <w:rsid w:val="777836A8"/>
    <w:rsid w:val="778154D2"/>
    <w:rsid w:val="77905732"/>
    <w:rsid w:val="77B0784A"/>
    <w:rsid w:val="77C11D73"/>
    <w:rsid w:val="77F91476"/>
    <w:rsid w:val="7812638E"/>
    <w:rsid w:val="782D48DD"/>
    <w:rsid w:val="783A7579"/>
    <w:rsid w:val="78446F6D"/>
    <w:rsid w:val="784645C5"/>
    <w:rsid w:val="784D2B8A"/>
    <w:rsid w:val="785D5BF2"/>
    <w:rsid w:val="788D45E4"/>
    <w:rsid w:val="789E03D5"/>
    <w:rsid w:val="78A64966"/>
    <w:rsid w:val="78B613ED"/>
    <w:rsid w:val="78BE0BB6"/>
    <w:rsid w:val="78C85449"/>
    <w:rsid w:val="78CD0CE6"/>
    <w:rsid w:val="78D03D23"/>
    <w:rsid w:val="79012995"/>
    <w:rsid w:val="7928227D"/>
    <w:rsid w:val="79437F4F"/>
    <w:rsid w:val="79566073"/>
    <w:rsid w:val="79B7167F"/>
    <w:rsid w:val="79B76C91"/>
    <w:rsid w:val="79BA0D72"/>
    <w:rsid w:val="79E04DE6"/>
    <w:rsid w:val="7A1851C0"/>
    <w:rsid w:val="7A287E87"/>
    <w:rsid w:val="7A3946CB"/>
    <w:rsid w:val="7A54674C"/>
    <w:rsid w:val="7A772BBC"/>
    <w:rsid w:val="7A832958"/>
    <w:rsid w:val="7A8377B3"/>
    <w:rsid w:val="7A862118"/>
    <w:rsid w:val="7A910B88"/>
    <w:rsid w:val="7AF652EB"/>
    <w:rsid w:val="7B464C18"/>
    <w:rsid w:val="7B5A717D"/>
    <w:rsid w:val="7B8D1D3A"/>
    <w:rsid w:val="7B923C0D"/>
    <w:rsid w:val="7B9906CE"/>
    <w:rsid w:val="7BB265A2"/>
    <w:rsid w:val="7BB9294E"/>
    <w:rsid w:val="7BD3172C"/>
    <w:rsid w:val="7BDA25A1"/>
    <w:rsid w:val="7BE43F36"/>
    <w:rsid w:val="7BE90257"/>
    <w:rsid w:val="7BF90052"/>
    <w:rsid w:val="7BFC77C3"/>
    <w:rsid w:val="7BFC781D"/>
    <w:rsid w:val="7C0C37BD"/>
    <w:rsid w:val="7C175AAB"/>
    <w:rsid w:val="7C187903"/>
    <w:rsid w:val="7C205363"/>
    <w:rsid w:val="7C210EEF"/>
    <w:rsid w:val="7CD9253E"/>
    <w:rsid w:val="7CE064FE"/>
    <w:rsid w:val="7CEF0FB1"/>
    <w:rsid w:val="7CF47B20"/>
    <w:rsid w:val="7D0D7525"/>
    <w:rsid w:val="7D190A36"/>
    <w:rsid w:val="7D2A6F6E"/>
    <w:rsid w:val="7D2B760F"/>
    <w:rsid w:val="7D2D5C89"/>
    <w:rsid w:val="7D2D7759"/>
    <w:rsid w:val="7D40411F"/>
    <w:rsid w:val="7D5267C8"/>
    <w:rsid w:val="7D5471E5"/>
    <w:rsid w:val="7D8D730B"/>
    <w:rsid w:val="7D96066F"/>
    <w:rsid w:val="7DAF2E0E"/>
    <w:rsid w:val="7DBC0461"/>
    <w:rsid w:val="7DD50326"/>
    <w:rsid w:val="7E0E6C5F"/>
    <w:rsid w:val="7E2D7A48"/>
    <w:rsid w:val="7E9C5E56"/>
    <w:rsid w:val="7E9F67E9"/>
    <w:rsid w:val="7EA31DD0"/>
    <w:rsid w:val="7EBD349A"/>
    <w:rsid w:val="7EC02698"/>
    <w:rsid w:val="7F076C05"/>
    <w:rsid w:val="7F27346B"/>
    <w:rsid w:val="7F2B51C5"/>
    <w:rsid w:val="7F4A5EBB"/>
    <w:rsid w:val="7F4B595D"/>
    <w:rsid w:val="7FC2060F"/>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2"/>
    <w:qFormat/>
    <w:uiPriority w:val="0"/>
    <w:pPr>
      <w:keepNext/>
      <w:keepLines/>
      <w:spacing w:before="340" w:after="330" w:line="578" w:lineRule="auto"/>
      <w:outlineLvl w:val="0"/>
    </w:pPr>
    <w:rPr>
      <w:b/>
      <w:kern w:val="44"/>
      <w:sz w:val="36"/>
    </w:rPr>
  </w:style>
  <w:style w:type="paragraph" w:styleId="3">
    <w:name w:val="heading 2"/>
    <w:basedOn w:val="1"/>
    <w:next w:val="1"/>
    <w:link w:val="73"/>
    <w:qFormat/>
    <w:uiPriority w:val="0"/>
    <w:pPr>
      <w:keepNext/>
      <w:keepLines/>
      <w:spacing w:before="260" w:after="260" w:line="360" w:lineRule="auto"/>
      <w:outlineLvl w:val="1"/>
    </w:pPr>
    <w:rPr>
      <w:rFonts w:ascii="宋体" w:hAnsi="宋体"/>
      <w:b/>
      <w:color w:val="000000"/>
      <w:sz w:val="30"/>
    </w:rPr>
  </w:style>
  <w:style w:type="paragraph" w:styleId="4">
    <w:name w:val="heading 3"/>
    <w:basedOn w:val="1"/>
    <w:next w:val="1"/>
    <w:link w:val="74"/>
    <w:qFormat/>
    <w:uiPriority w:val="0"/>
    <w:pPr>
      <w:keepNext/>
      <w:keepLines/>
      <w:autoSpaceDE w:val="0"/>
      <w:autoSpaceDN w:val="0"/>
      <w:adjustRightInd w:val="0"/>
      <w:snapToGrid w:val="0"/>
      <w:spacing w:before="360" w:after="260" w:line="360" w:lineRule="auto"/>
      <w:textAlignment w:val="baseline"/>
      <w:outlineLvl w:val="2"/>
    </w:pPr>
    <w:rPr>
      <w:rFonts w:ascii="宋体" w:hAnsi="宋体"/>
      <w:b/>
      <w:sz w:val="28"/>
    </w:rPr>
  </w:style>
  <w:style w:type="paragraph" w:styleId="5">
    <w:name w:val="heading 4"/>
    <w:basedOn w:val="1"/>
    <w:next w:val="1"/>
    <w:link w:val="75"/>
    <w:qFormat/>
    <w:uiPriority w:val="0"/>
    <w:pPr>
      <w:keepNext/>
      <w:keepLines/>
      <w:spacing w:before="280" w:after="290" w:line="376" w:lineRule="auto"/>
      <w:outlineLvl w:val="3"/>
    </w:pPr>
    <w:rPr>
      <w:rFonts w:ascii="宋体" w:hAnsi="宋体"/>
      <w:b/>
      <w:sz w:val="28"/>
    </w:rPr>
  </w:style>
  <w:style w:type="paragraph" w:styleId="6">
    <w:name w:val="heading 5"/>
    <w:basedOn w:val="1"/>
    <w:next w:val="7"/>
    <w:link w:val="76"/>
    <w:qFormat/>
    <w:uiPriority w:val="0"/>
    <w:pPr>
      <w:spacing w:before="60" w:after="60" w:line="360" w:lineRule="auto"/>
      <w:outlineLvl w:val="4"/>
    </w:pPr>
    <w:rPr>
      <w:b/>
      <w:bCs/>
      <w:sz w:val="28"/>
      <w:szCs w:val="28"/>
    </w:rPr>
  </w:style>
  <w:style w:type="paragraph" w:styleId="8">
    <w:name w:val="heading 6"/>
    <w:basedOn w:val="1"/>
    <w:next w:val="7"/>
    <w:link w:val="77"/>
    <w:qFormat/>
    <w:uiPriority w:val="0"/>
    <w:pPr>
      <w:spacing w:before="60" w:after="60" w:line="360" w:lineRule="auto"/>
      <w:outlineLvl w:val="5"/>
    </w:pPr>
    <w:rPr>
      <w:b/>
      <w:bCs/>
      <w:sz w:val="24"/>
      <w:szCs w:val="24"/>
    </w:rPr>
  </w:style>
  <w:style w:type="paragraph" w:styleId="9">
    <w:name w:val="heading 7"/>
    <w:basedOn w:val="1"/>
    <w:next w:val="1"/>
    <w:link w:val="148"/>
    <w:qFormat/>
    <w:uiPriority w:val="0"/>
    <w:pPr>
      <w:keepNext/>
      <w:keepLines/>
      <w:widowControl/>
      <w:tabs>
        <w:tab w:val="left" w:pos="1296"/>
      </w:tabs>
      <w:spacing w:before="240" w:after="64" w:line="317" w:lineRule="auto"/>
      <w:ind w:left="1296" w:hanging="1296"/>
      <w:jc w:val="left"/>
      <w:outlineLvl w:val="6"/>
    </w:pPr>
    <w:rPr>
      <w:b/>
      <w:bCs/>
      <w:kern w:val="0"/>
      <w:sz w:val="24"/>
      <w:szCs w:val="24"/>
    </w:rPr>
  </w:style>
  <w:style w:type="paragraph" w:styleId="10">
    <w:name w:val="heading 8"/>
    <w:basedOn w:val="1"/>
    <w:next w:val="1"/>
    <w:link w:val="149"/>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szCs w:val="24"/>
    </w:rPr>
  </w:style>
  <w:style w:type="paragraph" w:styleId="11">
    <w:name w:val="heading 9"/>
    <w:basedOn w:val="1"/>
    <w:next w:val="1"/>
    <w:link w:val="150"/>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Body Text"/>
    <w:basedOn w:val="1"/>
    <w:next w:val="1"/>
    <w:link w:val="95"/>
    <w:qFormat/>
    <w:uiPriority w:val="0"/>
    <w:pPr>
      <w:spacing w:line="360" w:lineRule="auto"/>
    </w:pPr>
    <w:rPr>
      <w:rFonts w:ascii="黑体"/>
      <w:sz w:val="24"/>
    </w:rPr>
  </w:style>
  <w:style w:type="paragraph" w:styleId="12">
    <w:name w:val="toc 7"/>
    <w:basedOn w:val="1"/>
    <w:next w:val="1"/>
    <w:semiHidden/>
    <w:qFormat/>
    <w:uiPriority w:val="0"/>
    <w:pPr>
      <w:ind w:left="1260"/>
      <w:jc w:val="left"/>
    </w:pPr>
    <w:rPr>
      <w:szCs w:val="21"/>
    </w:rPr>
  </w:style>
  <w:style w:type="paragraph" w:styleId="13">
    <w:name w:val="Normal Indent"/>
    <w:basedOn w:val="1"/>
    <w:next w:val="1"/>
    <w:qFormat/>
    <w:uiPriority w:val="0"/>
    <w:pPr>
      <w:widowControl/>
      <w:ind w:firstLine="420"/>
      <w:jc w:val="left"/>
    </w:pPr>
    <w:rPr>
      <w:kern w:val="0"/>
    </w:rPr>
  </w:style>
  <w:style w:type="paragraph" w:styleId="14">
    <w:name w:val="caption"/>
    <w:basedOn w:val="1"/>
    <w:next w:val="1"/>
    <w:qFormat/>
    <w:uiPriority w:val="0"/>
    <w:pPr>
      <w:widowControl/>
      <w:jc w:val="left"/>
    </w:pPr>
    <w:rPr>
      <w:rFonts w:ascii="Arial" w:hAnsi="Arial" w:eastAsia="黑体" w:cs="Arial"/>
      <w:kern w:val="0"/>
      <w:sz w:val="20"/>
    </w:rPr>
  </w:style>
  <w:style w:type="paragraph" w:styleId="15">
    <w:name w:val="List Bullet"/>
    <w:basedOn w:val="1"/>
    <w:qFormat/>
    <w:uiPriority w:val="0"/>
    <w:pPr>
      <w:tabs>
        <w:tab w:val="left" w:pos="360"/>
      </w:tabs>
      <w:autoSpaceDE w:val="0"/>
      <w:autoSpaceDN w:val="0"/>
      <w:adjustRightInd w:val="0"/>
      <w:snapToGrid w:val="0"/>
      <w:spacing w:line="360" w:lineRule="auto"/>
      <w:ind w:left="360" w:hanging="360"/>
      <w:textAlignment w:val="baseline"/>
    </w:pPr>
    <w:rPr>
      <w:rFonts w:ascii="宋体" w:hAnsi="Tms Rmn"/>
      <w:snapToGrid w:val="0"/>
      <w:color w:val="000000"/>
      <w:kern w:val="24"/>
      <w:sz w:val="28"/>
    </w:rPr>
  </w:style>
  <w:style w:type="paragraph" w:styleId="16">
    <w:name w:val="Document Map"/>
    <w:basedOn w:val="1"/>
    <w:link w:val="94"/>
    <w:qFormat/>
    <w:uiPriority w:val="0"/>
    <w:pPr>
      <w:shd w:val="clear" w:color="auto" w:fill="000080"/>
    </w:pPr>
  </w:style>
  <w:style w:type="paragraph" w:styleId="17">
    <w:name w:val="toa heading"/>
    <w:basedOn w:val="1"/>
    <w:next w:val="1"/>
    <w:qFormat/>
    <w:uiPriority w:val="99"/>
    <w:pPr>
      <w:spacing w:before="120"/>
    </w:pPr>
    <w:rPr>
      <w:rFonts w:ascii="Arial" w:hAnsi="Arial"/>
      <w:sz w:val="24"/>
    </w:rPr>
  </w:style>
  <w:style w:type="paragraph" w:styleId="18">
    <w:name w:val="annotation text"/>
    <w:basedOn w:val="1"/>
    <w:link w:val="112"/>
    <w:qFormat/>
    <w:uiPriority w:val="0"/>
    <w:pPr>
      <w:jc w:val="left"/>
    </w:pPr>
    <w:rPr>
      <w:rFonts w:asciiTheme="minorHAnsi" w:hAnsiTheme="minorHAnsi" w:cstheme="minorBidi"/>
      <w:szCs w:val="24"/>
    </w:rPr>
  </w:style>
  <w:style w:type="paragraph" w:styleId="19">
    <w:name w:val="Body Text 3"/>
    <w:basedOn w:val="1"/>
    <w:link w:val="122"/>
    <w:qFormat/>
    <w:uiPriority w:val="0"/>
    <w:pPr>
      <w:spacing w:line="360" w:lineRule="auto"/>
    </w:pPr>
    <w:rPr>
      <w:rFonts w:ascii="宋体" w:hAnsi="宋体"/>
      <w:b/>
      <w:bCs/>
    </w:rPr>
  </w:style>
  <w:style w:type="paragraph" w:styleId="20">
    <w:name w:val="Body Text Indent"/>
    <w:basedOn w:val="1"/>
    <w:next w:val="1"/>
    <w:link w:val="124"/>
    <w:qFormat/>
    <w:uiPriority w:val="0"/>
    <w:pPr>
      <w:spacing w:line="360" w:lineRule="auto"/>
      <w:ind w:left="480"/>
    </w:pPr>
    <w:rPr>
      <w:rFonts w:ascii="宋体"/>
      <w:sz w:val="24"/>
    </w:rPr>
  </w:style>
  <w:style w:type="paragraph" w:styleId="21">
    <w:name w:val="List 2"/>
    <w:basedOn w:val="1"/>
    <w:qFormat/>
    <w:uiPriority w:val="0"/>
    <w:pPr>
      <w:spacing w:before="60" w:after="60" w:line="240" w:lineRule="atLeast"/>
    </w:pPr>
    <w:rPr>
      <w:szCs w:val="24"/>
    </w:rPr>
  </w:style>
  <w:style w:type="paragraph" w:styleId="22">
    <w:name w:val="toc 5"/>
    <w:basedOn w:val="1"/>
    <w:next w:val="1"/>
    <w:semiHidden/>
    <w:qFormat/>
    <w:uiPriority w:val="0"/>
    <w:pPr>
      <w:ind w:left="840"/>
      <w:jc w:val="left"/>
    </w:pPr>
    <w:rPr>
      <w:szCs w:val="21"/>
    </w:rPr>
  </w:style>
  <w:style w:type="paragraph" w:styleId="23">
    <w:name w:val="toc 3"/>
    <w:basedOn w:val="1"/>
    <w:next w:val="1"/>
    <w:qFormat/>
    <w:uiPriority w:val="0"/>
    <w:pPr>
      <w:ind w:left="420"/>
      <w:jc w:val="left"/>
    </w:pPr>
    <w:rPr>
      <w:i/>
      <w:iCs/>
      <w:szCs w:val="24"/>
    </w:rPr>
  </w:style>
  <w:style w:type="paragraph" w:styleId="24">
    <w:name w:val="Plain Text"/>
    <w:basedOn w:val="1"/>
    <w:link w:val="100"/>
    <w:qFormat/>
    <w:uiPriority w:val="0"/>
    <w:rPr>
      <w:rFonts w:ascii="宋体" w:hAnsi="Courier New" w:cstheme="minorBidi"/>
      <w:szCs w:val="22"/>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93"/>
    <w:qFormat/>
    <w:uiPriority w:val="0"/>
    <w:rPr>
      <w:sz w:val="24"/>
    </w:rPr>
  </w:style>
  <w:style w:type="paragraph" w:styleId="27">
    <w:name w:val="Body Text Indent 2"/>
    <w:basedOn w:val="1"/>
    <w:link w:val="119"/>
    <w:qFormat/>
    <w:uiPriority w:val="0"/>
    <w:pPr>
      <w:autoSpaceDE w:val="0"/>
      <w:autoSpaceDN w:val="0"/>
      <w:adjustRightInd w:val="0"/>
      <w:spacing w:line="360" w:lineRule="auto"/>
      <w:ind w:firstLine="538"/>
      <w:jc w:val="left"/>
    </w:pPr>
    <w:rPr>
      <w:rFonts w:ascii="仿宋_GB2312" w:eastAsia="仿宋_GB2312"/>
      <w:color w:val="000000"/>
      <w:kern w:val="0"/>
      <w:sz w:val="28"/>
    </w:rPr>
  </w:style>
  <w:style w:type="paragraph" w:styleId="28">
    <w:name w:val="Balloon Text"/>
    <w:basedOn w:val="1"/>
    <w:link w:val="110"/>
    <w:qFormat/>
    <w:uiPriority w:val="99"/>
    <w:rPr>
      <w:sz w:val="18"/>
      <w:szCs w:val="18"/>
    </w:rPr>
  </w:style>
  <w:style w:type="paragraph" w:styleId="29">
    <w:name w:val="footer"/>
    <w:basedOn w:val="1"/>
    <w:link w:val="114"/>
    <w:qFormat/>
    <w:uiPriority w:val="99"/>
    <w:pPr>
      <w:pBdr>
        <w:top w:val="single" w:color="auto" w:sz="4" w:space="1"/>
      </w:pBdr>
      <w:tabs>
        <w:tab w:val="center" w:pos="4153"/>
        <w:tab w:val="right" w:pos="8306"/>
      </w:tabs>
      <w:snapToGrid w:val="0"/>
      <w:spacing w:line="360" w:lineRule="auto"/>
      <w:jc w:val="left"/>
    </w:pPr>
    <w:rPr>
      <w:sz w:val="18"/>
    </w:rPr>
  </w:style>
  <w:style w:type="paragraph" w:styleId="30">
    <w:name w:val="header"/>
    <w:basedOn w:val="1"/>
    <w:link w:val="99"/>
    <w:qFormat/>
    <w:uiPriority w:val="0"/>
    <w:pPr>
      <w:pBdr>
        <w:bottom w:val="thinThickSmallGap" w:color="auto" w:sz="12" w:space="1"/>
      </w:pBdr>
      <w:tabs>
        <w:tab w:val="center" w:pos="4153"/>
        <w:tab w:val="right" w:pos="8306"/>
      </w:tabs>
      <w:snapToGrid w:val="0"/>
      <w:spacing w:line="360" w:lineRule="auto"/>
      <w:jc w:val="center"/>
    </w:pPr>
    <w:rPr>
      <w:rFonts w:hint="eastAsia" w:ascii="宋体" w:hAnsi="宋体" w:cs="宋体"/>
      <w:sz w:val="18"/>
      <w:szCs w:val="18"/>
    </w:rPr>
  </w:style>
  <w:style w:type="paragraph" w:styleId="31">
    <w:name w:val="toc 1"/>
    <w:basedOn w:val="1"/>
    <w:next w:val="1"/>
    <w:qFormat/>
    <w:uiPriority w:val="0"/>
    <w:pPr>
      <w:tabs>
        <w:tab w:val="right" w:leader="dot" w:pos="9344"/>
      </w:tabs>
      <w:spacing w:before="120" w:after="120"/>
      <w:jc w:val="left"/>
    </w:pPr>
    <w:rPr>
      <w:rFonts w:ascii="宋体" w:hAnsi="宋体"/>
      <w:b/>
      <w:bCs/>
      <w:caps/>
      <w:sz w:val="24"/>
      <w:szCs w:val="24"/>
    </w:rPr>
  </w:style>
  <w:style w:type="paragraph" w:styleId="32">
    <w:name w:val="toc 4"/>
    <w:basedOn w:val="1"/>
    <w:next w:val="1"/>
    <w:semiHidden/>
    <w:qFormat/>
    <w:uiPriority w:val="0"/>
    <w:pPr>
      <w:ind w:left="630"/>
      <w:jc w:val="left"/>
    </w:pPr>
    <w:rPr>
      <w:szCs w:val="21"/>
    </w:rPr>
  </w:style>
  <w:style w:type="paragraph" w:styleId="33">
    <w:name w:val="index heading"/>
    <w:basedOn w:val="1"/>
    <w:next w:val="34"/>
    <w:qFormat/>
    <w:uiPriority w:val="0"/>
  </w:style>
  <w:style w:type="paragraph" w:styleId="34">
    <w:name w:val="index 1"/>
    <w:basedOn w:val="1"/>
    <w:next w:val="1"/>
    <w:qFormat/>
    <w:uiPriority w:val="0"/>
    <w:rPr>
      <w:rFonts w:ascii="宋体" w:hAnsi="宋体"/>
      <w:sz w:val="24"/>
      <w:szCs w:val="24"/>
    </w:rPr>
  </w:style>
  <w:style w:type="paragraph" w:styleId="35">
    <w:name w:val="toc 6"/>
    <w:basedOn w:val="1"/>
    <w:next w:val="1"/>
    <w:semiHidden/>
    <w:qFormat/>
    <w:uiPriority w:val="0"/>
    <w:pPr>
      <w:ind w:left="1050"/>
      <w:jc w:val="left"/>
    </w:pPr>
    <w:rPr>
      <w:szCs w:val="21"/>
    </w:rPr>
  </w:style>
  <w:style w:type="paragraph" w:styleId="36">
    <w:name w:val="Body Text Indent 3"/>
    <w:basedOn w:val="1"/>
    <w:link w:val="96"/>
    <w:qFormat/>
    <w:uiPriority w:val="0"/>
    <w:pPr>
      <w:spacing w:line="360" w:lineRule="auto"/>
      <w:ind w:firstLine="480"/>
    </w:pPr>
    <w:rPr>
      <w:sz w:val="24"/>
    </w:rPr>
  </w:style>
  <w:style w:type="paragraph" w:styleId="37">
    <w:name w:val="toc 2"/>
    <w:basedOn w:val="1"/>
    <w:next w:val="1"/>
    <w:qFormat/>
    <w:uiPriority w:val="0"/>
    <w:pPr>
      <w:ind w:left="210"/>
      <w:jc w:val="left"/>
    </w:pPr>
    <w:rPr>
      <w:smallCaps/>
      <w:szCs w:val="24"/>
    </w:rPr>
  </w:style>
  <w:style w:type="paragraph" w:styleId="38">
    <w:name w:val="toc 9"/>
    <w:basedOn w:val="1"/>
    <w:next w:val="1"/>
    <w:semiHidden/>
    <w:qFormat/>
    <w:uiPriority w:val="0"/>
    <w:pPr>
      <w:ind w:left="1680"/>
      <w:jc w:val="left"/>
    </w:pPr>
    <w:rPr>
      <w:szCs w:val="21"/>
    </w:rPr>
  </w:style>
  <w:style w:type="paragraph" w:styleId="39">
    <w:name w:val="Body Text 2"/>
    <w:basedOn w:val="1"/>
    <w:link w:val="91"/>
    <w:qFormat/>
    <w:uiPriority w:val="0"/>
    <w:rPr>
      <w:rFonts w:eastAsia="楷体_GB2312"/>
      <w:sz w:val="28"/>
    </w:rPr>
  </w:style>
  <w:style w:type="paragraph" w:styleId="40">
    <w:name w:val="HTML Preformatted"/>
    <w:basedOn w:val="1"/>
    <w:link w:val="1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41">
    <w:name w:val="Normal (Web)"/>
    <w:basedOn w:val="1"/>
    <w:qFormat/>
    <w:uiPriority w:val="0"/>
    <w:rPr>
      <w:sz w:val="24"/>
      <w:szCs w:val="24"/>
    </w:rPr>
  </w:style>
  <w:style w:type="paragraph" w:styleId="42">
    <w:name w:val="Title"/>
    <w:basedOn w:val="1"/>
    <w:next w:val="1"/>
    <w:qFormat/>
    <w:uiPriority w:val="10"/>
    <w:pPr>
      <w:numPr>
        <w:ilvl w:val="0"/>
        <w:numId w:val="1"/>
      </w:numPr>
      <w:spacing w:before="240" w:after="60"/>
      <w:jc w:val="left"/>
      <w:outlineLvl w:val="0"/>
    </w:pPr>
    <w:rPr>
      <w:rFonts w:ascii="Cambria" w:hAnsi="Cambria"/>
      <w:b/>
      <w:bCs/>
      <w:sz w:val="32"/>
      <w:szCs w:val="32"/>
    </w:rPr>
  </w:style>
  <w:style w:type="paragraph" w:styleId="43">
    <w:name w:val="annotation subject"/>
    <w:basedOn w:val="18"/>
    <w:next w:val="18"/>
    <w:link w:val="116"/>
    <w:qFormat/>
    <w:uiPriority w:val="0"/>
    <w:rPr>
      <w:b/>
      <w:bCs/>
      <w:szCs w:val="20"/>
    </w:rPr>
  </w:style>
  <w:style w:type="paragraph" w:styleId="44">
    <w:name w:val="Body Text First Indent"/>
    <w:basedOn w:val="7"/>
    <w:next w:val="7"/>
    <w:link w:val="151"/>
    <w:qFormat/>
    <w:uiPriority w:val="0"/>
    <w:pPr>
      <w:widowControl/>
      <w:ind w:firstLine="420" w:firstLineChars="100"/>
      <w:jc w:val="left"/>
    </w:pPr>
    <w:rPr>
      <w:rFonts w:ascii="Times New Roman"/>
      <w:kern w:val="0"/>
      <w:sz w:val="21"/>
    </w:rPr>
  </w:style>
  <w:style w:type="paragraph" w:styleId="45">
    <w:name w:val="Body Text First Indent 2"/>
    <w:basedOn w:val="20"/>
    <w:link w:val="152"/>
    <w:qFormat/>
    <w:uiPriority w:val="0"/>
    <w:pPr>
      <w:widowControl/>
      <w:spacing w:after="120" w:line="240" w:lineRule="auto"/>
      <w:ind w:left="420" w:leftChars="200" w:firstLine="420" w:firstLineChars="200"/>
      <w:jc w:val="left"/>
    </w:pPr>
    <w:rPr>
      <w:rFonts w:ascii="Times New Roman"/>
      <w:b/>
      <w:kern w:val="0"/>
      <w:sz w:val="21"/>
    </w:rPr>
  </w:style>
  <w:style w:type="table" w:styleId="47">
    <w:name w:val="Table Grid"/>
    <w:basedOn w:val="46"/>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rPr>
      <w:rFonts w:eastAsia="黑体"/>
      <w:b/>
      <w:bCs/>
      <w:sz w:val="44"/>
      <w:szCs w:val="44"/>
    </w:rPr>
  </w:style>
  <w:style w:type="character" w:styleId="50">
    <w:name w:val="page number"/>
    <w:basedOn w:val="48"/>
    <w:qFormat/>
    <w:uiPriority w:val="0"/>
    <w:rPr>
      <w:rFonts w:eastAsia="宋体"/>
      <w:sz w:val="18"/>
    </w:rPr>
  </w:style>
  <w:style w:type="character" w:styleId="51">
    <w:name w:val="FollowedHyperlink"/>
    <w:qFormat/>
    <w:uiPriority w:val="99"/>
    <w:rPr>
      <w:color w:val="800080"/>
      <w:u w:val="single"/>
    </w:rPr>
  </w:style>
  <w:style w:type="character" w:styleId="52">
    <w:name w:val="Emphasis"/>
    <w:qFormat/>
    <w:uiPriority w:val="0"/>
  </w:style>
  <w:style w:type="character" w:styleId="53">
    <w:name w:val="Hyperlink"/>
    <w:basedOn w:val="48"/>
    <w:qFormat/>
    <w:uiPriority w:val="99"/>
    <w:rPr>
      <w:color w:val="0000FF"/>
      <w:u w:val="single"/>
    </w:rPr>
  </w:style>
  <w:style w:type="character" w:styleId="54">
    <w:name w:val="annotation reference"/>
    <w:qFormat/>
    <w:uiPriority w:val="0"/>
    <w:rPr>
      <w:sz w:val="21"/>
      <w:szCs w:val="21"/>
    </w:rPr>
  </w:style>
  <w:style w:type="paragraph" w:customStyle="1" w:styleId="55">
    <w:name w:val="正文正"/>
    <w:basedOn w:val="56"/>
    <w:qFormat/>
    <w:uiPriority w:val="0"/>
    <w:pPr>
      <w:spacing w:line="560" w:lineRule="exact"/>
      <w:ind w:firstLine="561"/>
    </w:pPr>
    <w:rPr>
      <w:rFonts w:ascii="Calibri" w:hAnsi="Calibri"/>
      <w:sz w:val="28"/>
    </w:rPr>
  </w:style>
  <w:style w:type="paragraph" w:customStyle="1" w:styleId="56">
    <w:name w:val="正文 New New New New New New New"/>
    <w:next w:val="57"/>
    <w:qFormat/>
    <w:uiPriority w:val="99"/>
    <w:pPr>
      <w:widowControl w:val="0"/>
      <w:jc w:val="both"/>
    </w:pPr>
    <w:rPr>
      <w:rFonts w:ascii="宋体" w:hAnsi="宋体" w:eastAsia="宋体" w:cs="Times New Roman"/>
      <w:kern w:val="16"/>
      <w:sz w:val="21"/>
      <w:szCs w:val="24"/>
      <w:lang w:val="en-US" w:eastAsia="zh-CN" w:bidi="ar-SA"/>
    </w:rPr>
  </w:style>
  <w:style w:type="paragraph" w:customStyle="1" w:styleId="57">
    <w:name w:val="正文文本 New"/>
    <w:qFormat/>
    <w:uiPriority w:val="0"/>
    <w:pPr>
      <w:widowControl w:val="0"/>
      <w:spacing w:line="360" w:lineRule="auto"/>
      <w:jc w:val="both"/>
    </w:pPr>
    <w:rPr>
      <w:rFonts w:ascii="_x000B__x000C_" w:hAnsi="_x000B__x000C_" w:eastAsia="宋体" w:cs="Times New Roman"/>
      <w:kern w:val="2"/>
      <w:sz w:val="24"/>
      <w:lang w:val="en-US" w:eastAsia="zh-CN" w:bidi="ar-SA"/>
    </w:rPr>
  </w:style>
  <w:style w:type="paragraph" w:customStyle="1" w:styleId="58">
    <w:name w:val="正文缩进1"/>
    <w:basedOn w:val="59"/>
    <w:next w:val="1"/>
    <w:qFormat/>
    <w:uiPriority w:val="0"/>
    <w:pPr>
      <w:widowControl/>
      <w:ind w:firstLine="420"/>
      <w:jc w:val="left"/>
    </w:pPr>
    <w:rPr>
      <w:kern w:val="0"/>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8"/>
    <w:qFormat/>
    <w:uiPriority w:val="0"/>
    <w:pPr>
      <w:widowControl w:val="0"/>
      <w:jc w:val="both"/>
    </w:pPr>
    <w:rPr>
      <w:rFonts w:ascii="宋体" w:hAnsi="宋体" w:eastAsia="宋体" w:cs="Times New Roman"/>
      <w:kern w:val="16"/>
      <w:sz w:val="21"/>
      <w:szCs w:val="24"/>
      <w:lang w:val="en-US" w:eastAsia="zh-CN" w:bidi="ar-SA"/>
    </w:rPr>
  </w:style>
  <w:style w:type="paragraph" w:customStyle="1" w:styleId="6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 New"/>
    <w:next w:val="62"/>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6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BodyText1I"/>
    <w:basedOn w:val="64"/>
    <w:qFormat/>
    <w:uiPriority w:val="99"/>
    <w:pPr>
      <w:ind w:firstLine="420" w:firstLineChars="100"/>
    </w:pPr>
  </w:style>
  <w:style w:type="paragraph" w:customStyle="1" w:styleId="64">
    <w:name w:val="BodyText"/>
    <w:basedOn w:val="1"/>
    <w:qFormat/>
    <w:uiPriority w:val="99"/>
    <w:pPr>
      <w:spacing w:after="120"/>
    </w:p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列出段落1"/>
    <w:basedOn w:val="1"/>
    <w:qFormat/>
    <w:uiPriority w:val="0"/>
    <w:pPr>
      <w:autoSpaceDE w:val="0"/>
      <w:autoSpaceDN w:val="0"/>
      <w:adjustRightInd w:val="0"/>
      <w:ind w:firstLine="420" w:firstLineChars="200"/>
    </w:pPr>
    <w:rPr>
      <w:kern w:val="0"/>
      <w:sz w:val="20"/>
    </w:rPr>
  </w:style>
  <w:style w:type="paragraph" w:customStyle="1" w:styleId="67">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8">
    <w:name w:val="Normal Indent1"/>
    <w:basedOn w:val="1"/>
    <w:qFormat/>
    <w:uiPriority w:val="0"/>
    <w:pPr>
      <w:widowControl/>
      <w:ind w:firstLine="420"/>
      <w:jc w:val="left"/>
    </w:pPr>
    <w:rPr>
      <w:kern w:val="0"/>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Char Char Char Char Char Char Char Char Char Char"/>
    <w:basedOn w:val="1"/>
    <w:qFormat/>
    <w:uiPriority w:val="0"/>
    <w:rPr>
      <w:rFonts w:ascii="Tahoma" w:hAnsi="Tahoma"/>
      <w:sz w:val="24"/>
    </w:rPr>
  </w:style>
  <w:style w:type="paragraph" w:customStyle="1" w:styleId="71">
    <w:name w:val="正文缩进11"/>
    <w:basedOn w:val="1"/>
    <w:qFormat/>
    <w:uiPriority w:val="99"/>
    <w:pPr>
      <w:ind w:firstLine="420"/>
    </w:pPr>
    <w:rPr>
      <w:rFonts w:ascii="Calibri" w:hAnsi="Calibri" w:cs="Calibri"/>
      <w:szCs w:val="21"/>
    </w:rPr>
  </w:style>
  <w:style w:type="character" w:customStyle="1" w:styleId="72">
    <w:name w:val="标题 1 字符"/>
    <w:basedOn w:val="48"/>
    <w:link w:val="2"/>
    <w:qFormat/>
    <w:uiPriority w:val="0"/>
    <w:rPr>
      <w:rFonts w:ascii="Times New Roman" w:hAnsi="Times New Roman" w:eastAsia="宋体" w:cs="Times New Roman"/>
      <w:b/>
      <w:kern w:val="44"/>
      <w:sz w:val="36"/>
      <w:szCs w:val="20"/>
    </w:rPr>
  </w:style>
  <w:style w:type="character" w:customStyle="1" w:styleId="73">
    <w:name w:val="标题 2 字符"/>
    <w:basedOn w:val="48"/>
    <w:link w:val="3"/>
    <w:qFormat/>
    <w:uiPriority w:val="0"/>
    <w:rPr>
      <w:rFonts w:ascii="宋体" w:hAnsi="宋体" w:eastAsia="宋体" w:cs="Times New Roman"/>
      <w:b/>
      <w:color w:val="000000"/>
      <w:sz w:val="30"/>
      <w:szCs w:val="20"/>
    </w:rPr>
  </w:style>
  <w:style w:type="character" w:customStyle="1" w:styleId="74">
    <w:name w:val="标题 3 字符"/>
    <w:basedOn w:val="48"/>
    <w:link w:val="4"/>
    <w:qFormat/>
    <w:uiPriority w:val="0"/>
    <w:rPr>
      <w:rFonts w:ascii="宋体" w:hAnsi="宋体" w:eastAsia="宋体" w:cs="Times New Roman"/>
      <w:b/>
      <w:sz w:val="28"/>
      <w:szCs w:val="20"/>
    </w:rPr>
  </w:style>
  <w:style w:type="character" w:customStyle="1" w:styleId="75">
    <w:name w:val="标题 4 字符"/>
    <w:basedOn w:val="48"/>
    <w:link w:val="5"/>
    <w:qFormat/>
    <w:uiPriority w:val="0"/>
    <w:rPr>
      <w:rFonts w:ascii="宋体" w:hAnsi="宋体" w:eastAsia="宋体" w:cs="Times New Roman"/>
      <w:b/>
      <w:sz w:val="28"/>
      <w:szCs w:val="20"/>
    </w:rPr>
  </w:style>
  <w:style w:type="character" w:customStyle="1" w:styleId="76">
    <w:name w:val="标题 5 字符"/>
    <w:basedOn w:val="48"/>
    <w:link w:val="6"/>
    <w:qFormat/>
    <w:uiPriority w:val="0"/>
    <w:rPr>
      <w:rFonts w:ascii="Times New Roman" w:hAnsi="Times New Roman" w:eastAsia="宋体" w:cs="Times New Roman"/>
      <w:b/>
      <w:bCs/>
      <w:sz w:val="28"/>
      <w:szCs w:val="28"/>
    </w:rPr>
  </w:style>
  <w:style w:type="character" w:customStyle="1" w:styleId="77">
    <w:name w:val="标题 6 字符"/>
    <w:basedOn w:val="48"/>
    <w:link w:val="8"/>
    <w:qFormat/>
    <w:uiPriority w:val="0"/>
    <w:rPr>
      <w:rFonts w:ascii="Times New Roman" w:hAnsi="Times New Roman" w:eastAsia="宋体" w:cs="Times New Roman"/>
      <w:b/>
      <w:bCs/>
      <w:sz w:val="24"/>
      <w:szCs w:val="24"/>
    </w:rPr>
  </w:style>
  <w:style w:type="character" w:customStyle="1" w:styleId="78">
    <w:name w:val="unnamed21"/>
    <w:qFormat/>
    <w:uiPriority w:val="0"/>
    <w:rPr>
      <w:b/>
      <w:bCs/>
      <w:color w:val="FF6600"/>
      <w:sz w:val="26"/>
      <w:szCs w:val="26"/>
      <w:u w:val="none"/>
    </w:rPr>
  </w:style>
  <w:style w:type="character" w:customStyle="1" w:styleId="79">
    <w:name w:val="p141"/>
    <w:basedOn w:val="48"/>
    <w:qFormat/>
    <w:uiPriority w:val="0"/>
    <w:rPr>
      <w:sz w:val="21"/>
      <w:szCs w:val="21"/>
    </w:rPr>
  </w:style>
  <w:style w:type="character" w:customStyle="1" w:styleId="80">
    <w:name w:val="纯文本 Char"/>
    <w:qFormat/>
    <w:uiPriority w:val="0"/>
    <w:rPr>
      <w:rFonts w:ascii="宋体" w:hAnsi="Courier New" w:eastAsia="宋体"/>
    </w:rPr>
  </w:style>
  <w:style w:type="character" w:customStyle="1" w:styleId="81">
    <w:name w:val="Char Char6"/>
    <w:qFormat/>
    <w:uiPriority w:val="0"/>
    <w:rPr>
      <w:rFonts w:ascii="宋体" w:hAnsi="Courier New" w:eastAsia="宋体"/>
      <w:kern w:val="2"/>
      <w:sz w:val="24"/>
      <w:lang w:val="en-US" w:eastAsia="zh-CN" w:bidi="ar-SA"/>
    </w:rPr>
  </w:style>
  <w:style w:type="character" w:customStyle="1" w:styleId="82">
    <w:name w:val="正文缩进 Char"/>
    <w:qFormat/>
    <w:uiPriority w:val="0"/>
    <w:rPr>
      <w:rFonts w:eastAsia="宋体"/>
      <w:sz w:val="24"/>
    </w:rPr>
  </w:style>
  <w:style w:type="character" w:customStyle="1" w:styleId="83">
    <w:name w:val="批注文字 Char"/>
    <w:qFormat/>
    <w:uiPriority w:val="0"/>
    <w:rPr>
      <w:rFonts w:eastAsia="宋体"/>
      <w:szCs w:val="24"/>
    </w:rPr>
  </w:style>
  <w:style w:type="character" w:customStyle="1" w:styleId="84">
    <w:name w:val="banner11"/>
    <w:qFormat/>
    <w:uiPriority w:val="0"/>
    <w:rPr>
      <w:color w:val="000099"/>
      <w:sz w:val="32"/>
      <w:szCs w:val="32"/>
    </w:rPr>
  </w:style>
  <w:style w:type="character" w:customStyle="1" w:styleId="85">
    <w:name w:val="页眉 Char"/>
    <w:qFormat/>
    <w:uiPriority w:val="0"/>
    <w:rPr>
      <w:rFonts w:ascii="宋体" w:hAnsi="宋体" w:eastAsia="宋体" w:cs="宋体"/>
      <w:sz w:val="18"/>
      <w:szCs w:val="18"/>
    </w:rPr>
  </w:style>
  <w:style w:type="character" w:customStyle="1" w:styleId="86">
    <w:name w:val="text1"/>
    <w:qFormat/>
    <w:uiPriority w:val="0"/>
    <w:rPr>
      <w:sz w:val="21"/>
      <w:szCs w:val="21"/>
      <w:u w:val="none"/>
    </w:rPr>
  </w:style>
  <w:style w:type="character" w:customStyle="1" w:styleId="87">
    <w:name w:val="页脚2 Char"/>
    <w:link w:val="88"/>
    <w:qFormat/>
    <w:uiPriority w:val="0"/>
    <w:rPr>
      <w:rFonts w:ascii="宋体" w:hAnsi="宋体" w:eastAsia="宋体"/>
      <w:sz w:val="18"/>
      <w:szCs w:val="18"/>
    </w:rPr>
  </w:style>
  <w:style w:type="paragraph" w:customStyle="1" w:styleId="88">
    <w:name w:val="页脚2"/>
    <w:basedOn w:val="1"/>
    <w:next w:val="29"/>
    <w:link w:val="87"/>
    <w:qFormat/>
    <w:uiPriority w:val="0"/>
    <w:pPr>
      <w:widowControl/>
      <w:pBdr>
        <w:top w:val="single" w:color="auto" w:sz="6" w:space="0"/>
      </w:pBdr>
      <w:jc w:val="right"/>
      <w:textAlignment w:val="center"/>
    </w:pPr>
    <w:rPr>
      <w:rFonts w:ascii="宋体" w:hAnsi="宋体" w:eastAsia="宋体" w:cstheme="minorBidi"/>
      <w:sz w:val="18"/>
      <w:szCs w:val="18"/>
    </w:rPr>
  </w:style>
  <w:style w:type="paragraph" w:customStyle="1" w:styleId="89">
    <w:name w:val="text"/>
    <w:basedOn w:val="1"/>
    <w:qFormat/>
    <w:uiPriority w:val="0"/>
    <w:pPr>
      <w:widowControl/>
      <w:spacing w:before="100" w:beforeAutospacing="1" w:after="100" w:afterAutospacing="1" w:line="347" w:lineRule="atLeast"/>
      <w:jc w:val="left"/>
    </w:pPr>
    <w:rPr>
      <w:rFonts w:ascii="Arial Unicode MS" w:hAnsi="Arial Unicode MS" w:eastAsia="Arial Unicode MS" w:cs="Arial Unicode MS"/>
      <w:color w:val="000000"/>
      <w:kern w:val="0"/>
      <w:szCs w:val="21"/>
    </w:rPr>
  </w:style>
  <w:style w:type="paragraph" w:customStyle="1" w:styleId="90">
    <w:name w:val="D文1"/>
    <w:basedOn w:val="1"/>
    <w:qFormat/>
    <w:uiPriority w:val="0"/>
    <w:pPr>
      <w:tabs>
        <w:tab w:val="left" w:pos="720"/>
      </w:tabs>
      <w:autoSpaceDE w:val="0"/>
      <w:autoSpaceDN w:val="0"/>
      <w:adjustRightInd w:val="0"/>
      <w:spacing w:after="120" w:line="480" w:lineRule="atLeast"/>
      <w:ind w:left="680" w:firstLine="510"/>
    </w:pPr>
    <w:rPr>
      <w:rFonts w:ascii="宋体"/>
      <w:kern w:val="0"/>
      <w:sz w:val="24"/>
    </w:rPr>
  </w:style>
  <w:style w:type="character" w:customStyle="1" w:styleId="91">
    <w:name w:val="正文文本 2 字符"/>
    <w:basedOn w:val="48"/>
    <w:link w:val="39"/>
    <w:qFormat/>
    <w:uiPriority w:val="0"/>
    <w:rPr>
      <w:rFonts w:ascii="Times New Roman" w:hAnsi="Times New Roman" w:eastAsia="楷体_GB2312" w:cs="Times New Roman"/>
      <w:sz w:val="28"/>
      <w:szCs w:val="20"/>
    </w:rPr>
  </w:style>
  <w:style w:type="paragraph" w:customStyle="1" w:styleId="92">
    <w:name w:val="xl2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character" w:customStyle="1" w:styleId="93">
    <w:name w:val="日期 字符"/>
    <w:basedOn w:val="48"/>
    <w:link w:val="26"/>
    <w:qFormat/>
    <w:uiPriority w:val="0"/>
    <w:rPr>
      <w:rFonts w:ascii="Times New Roman" w:hAnsi="Times New Roman" w:eastAsia="宋体" w:cs="Times New Roman"/>
      <w:sz w:val="24"/>
      <w:szCs w:val="20"/>
    </w:rPr>
  </w:style>
  <w:style w:type="character" w:customStyle="1" w:styleId="94">
    <w:name w:val="文档结构图 字符"/>
    <w:basedOn w:val="48"/>
    <w:link w:val="16"/>
    <w:qFormat/>
    <w:uiPriority w:val="0"/>
    <w:rPr>
      <w:rFonts w:ascii="Times New Roman" w:hAnsi="Times New Roman" w:eastAsia="宋体" w:cs="Times New Roman"/>
      <w:szCs w:val="20"/>
      <w:shd w:val="clear" w:color="auto" w:fill="000080"/>
    </w:rPr>
  </w:style>
  <w:style w:type="character" w:customStyle="1" w:styleId="95">
    <w:name w:val="正文文本 字符"/>
    <w:basedOn w:val="48"/>
    <w:link w:val="7"/>
    <w:qFormat/>
    <w:uiPriority w:val="0"/>
    <w:rPr>
      <w:rFonts w:ascii="黑体" w:hAnsi="Times New Roman" w:eastAsia="宋体" w:cs="Times New Roman"/>
      <w:sz w:val="24"/>
      <w:szCs w:val="20"/>
    </w:rPr>
  </w:style>
  <w:style w:type="character" w:customStyle="1" w:styleId="96">
    <w:name w:val="正文文本缩进 3 字符"/>
    <w:basedOn w:val="48"/>
    <w:link w:val="36"/>
    <w:qFormat/>
    <w:uiPriority w:val="0"/>
    <w:rPr>
      <w:rFonts w:ascii="Times New Roman" w:hAnsi="Times New Roman" w:eastAsia="宋体" w:cs="Times New Roman"/>
      <w:sz w:val="24"/>
      <w:szCs w:val="20"/>
    </w:rPr>
  </w:style>
  <w:style w:type="paragraph" w:customStyle="1" w:styleId="97">
    <w:name w:val="样式 样式 标题 2H2PIM2Heading 2 Hidden2nd levelh22Header 2l2Titr... + ..."/>
    <w:basedOn w:val="1"/>
    <w:qFormat/>
    <w:uiPriority w:val="0"/>
    <w:pPr>
      <w:keepNext/>
      <w:keepLines/>
      <w:spacing w:beforeLines="50" w:line="360" w:lineRule="auto"/>
      <w:ind w:left="180"/>
      <w:outlineLvl w:val="1"/>
    </w:pPr>
    <w:rPr>
      <w:rFonts w:ascii="宋体" w:hAnsi="宋体"/>
      <w:b/>
      <w:sz w:val="28"/>
    </w:rPr>
  </w:style>
  <w:style w:type="paragraph" w:customStyle="1" w:styleId="98">
    <w:name w:val="Char Char Char1 Char"/>
    <w:basedOn w:val="1"/>
    <w:qFormat/>
    <w:uiPriority w:val="0"/>
    <w:pPr>
      <w:tabs>
        <w:tab w:val="left" w:pos="425"/>
      </w:tabs>
      <w:ind w:left="425" w:hanging="425"/>
    </w:pPr>
    <w:rPr>
      <w:rFonts w:eastAsia="仿宋_GB2312"/>
      <w:kern w:val="24"/>
      <w:sz w:val="24"/>
      <w:szCs w:val="24"/>
    </w:rPr>
  </w:style>
  <w:style w:type="character" w:customStyle="1" w:styleId="99">
    <w:name w:val="页眉 字符"/>
    <w:basedOn w:val="48"/>
    <w:link w:val="30"/>
    <w:semiHidden/>
    <w:qFormat/>
    <w:uiPriority w:val="99"/>
    <w:rPr>
      <w:rFonts w:ascii="Times New Roman" w:hAnsi="Times New Roman" w:eastAsia="宋体" w:cs="Times New Roman"/>
      <w:sz w:val="18"/>
      <w:szCs w:val="18"/>
    </w:rPr>
  </w:style>
  <w:style w:type="character" w:customStyle="1" w:styleId="100">
    <w:name w:val="纯文本 字符"/>
    <w:basedOn w:val="48"/>
    <w:link w:val="24"/>
    <w:qFormat/>
    <w:uiPriority w:val="0"/>
    <w:rPr>
      <w:rFonts w:ascii="宋体" w:hAnsi="Courier New" w:eastAsia="宋体" w:cs="Courier New"/>
      <w:szCs w:val="21"/>
    </w:rPr>
  </w:style>
  <w:style w:type="paragraph" w:customStyle="1" w:styleId="101">
    <w:name w:val="Char Char Char"/>
    <w:basedOn w:val="1"/>
    <w:link w:val="141"/>
    <w:qFormat/>
    <w:uiPriority w:val="0"/>
    <w:rPr>
      <w:rFonts w:ascii="Tahoma" w:hAnsi="Tahoma"/>
      <w:sz w:val="24"/>
    </w:rPr>
  </w:style>
  <w:style w:type="character" w:customStyle="1" w:styleId="102">
    <w:name w:val="HTML 预设格式 字符"/>
    <w:basedOn w:val="48"/>
    <w:link w:val="40"/>
    <w:qFormat/>
    <w:uiPriority w:val="0"/>
    <w:rPr>
      <w:rFonts w:ascii="黑体" w:hAnsi="Courier New" w:eastAsia="黑体" w:cs="Courier New"/>
      <w:kern w:val="0"/>
      <w:sz w:val="20"/>
      <w:szCs w:val="20"/>
    </w:rPr>
  </w:style>
  <w:style w:type="paragraph" w:customStyle="1" w:styleId="103">
    <w:name w:val="正文3"/>
    <w:basedOn w:val="1"/>
    <w:qFormat/>
    <w:uiPriority w:val="0"/>
    <w:pPr>
      <w:spacing w:before="60" w:after="60" w:line="360" w:lineRule="auto"/>
      <w:outlineLvl w:val="8"/>
    </w:pPr>
    <w:rPr>
      <w:sz w:val="24"/>
      <w:szCs w:val="21"/>
    </w:rPr>
  </w:style>
  <w:style w:type="paragraph" w:customStyle="1" w:styleId="104">
    <w:name w:val="p0"/>
    <w:basedOn w:val="1"/>
    <w:qFormat/>
    <w:uiPriority w:val="0"/>
    <w:pPr>
      <w:widowControl/>
    </w:pPr>
    <w:rPr>
      <w:kern w:val="0"/>
      <w:szCs w:val="21"/>
    </w:rPr>
  </w:style>
  <w:style w:type="paragraph" w:customStyle="1" w:styleId="105">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6">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107">
    <w:name w:val="表格"/>
    <w:basedOn w:val="1"/>
    <w:qFormat/>
    <w:uiPriority w:val="99"/>
    <w:pPr>
      <w:spacing w:line="400" w:lineRule="exact"/>
    </w:pPr>
    <w:rPr>
      <w:sz w:val="24"/>
      <w:szCs w:val="24"/>
    </w:rPr>
  </w:style>
  <w:style w:type="paragraph" w:customStyle="1" w:styleId="108">
    <w:name w:val="Char Char Char1"/>
    <w:basedOn w:val="1"/>
    <w:qFormat/>
    <w:uiPriority w:val="0"/>
    <w:rPr>
      <w:rFonts w:ascii="宋体" w:hAnsi="宋体"/>
      <w:b/>
      <w:sz w:val="28"/>
      <w:szCs w:val="28"/>
    </w:rPr>
  </w:style>
  <w:style w:type="paragraph" w:customStyle="1" w:styleId="109">
    <w:name w:val="样式 标题 3H3l3CTh33rd levelLevel 3 HeadHeading 3 - oldISO2..."/>
    <w:basedOn w:val="4"/>
    <w:qFormat/>
    <w:uiPriority w:val="0"/>
    <w:pPr>
      <w:keepNext w:val="0"/>
      <w:keepLines w:val="0"/>
      <w:autoSpaceDE/>
      <w:autoSpaceDN/>
      <w:adjustRightInd/>
      <w:snapToGrid/>
      <w:spacing w:before="0" w:after="0"/>
      <w:ind w:left="737" w:hanging="539"/>
      <w:textAlignment w:val="auto"/>
    </w:pPr>
    <w:rPr>
      <w:sz w:val="24"/>
    </w:rPr>
  </w:style>
  <w:style w:type="character" w:customStyle="1" w:styleId="110">
    <w:name w:val="批注框文本 字符"/>
    <w:basedOn w:val="48"/>
    <w:link w:val="28"/>
    <w:qFormat/>
    <w:uiPriority w:val="99"/>
    <w:rPr>
      <w:rFonts w:ascii="Times New Roman" w:hAnsi="Times New Roman" w:eastAsia="宋体" w:cs="Times New Roman"/>
      <w:sz w:val="18"/>
      <w:szCs w:val="18"/>
    </w:rPr>
  </w:style>
  <w:style w:type="paragraph" w:customStyle="1" w:styleId="111">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character" w:customStyle="1" w:styleId="112">
    <w:name w:val="批注文字 字符"/>
    <w:basedOn w:val="48"/>
    <w:link w:val="18"/>
    <w:semiHidden/>
    <w:qFormat/>
    <w:uiPriority w:val="99"/>
    <w:rPr>
      <w:rFonts w:ascii="Times New Roman" w:hAnsi="Times New Roman" w:eastAsia="宋体" w:cs="Times New Roman"/>
      <w:szCs w:val="20"/>
    </w:rPr>
  </w:style>
  <w:style w:type="paragraph" w:customStyle="1" w:styleId="113">
    <w:name w:val="Char"/>
    <w:basedOn w:val="1"/>
    <w:qFormat/>
    <w:uiPriority w:val="0"/>
    <w:pPr>
      <w:widowControl/>
      <w:spacing w:after="160" w:line="240" w:lineRule="exact"/>
      <w:jc w:val="left"/>
    </w:pPr>
    <w:rPr>
      <w:rFonts w:ascii="Verdana" w:hAnsi="Verdana"/>
      <w:kern w:val="0"/>
      <w:lang w:eastAsia="en-US"/>
    </w:rPr>
  </w:style>
  <w:style w:type="character" w:customStyle="1" w:styleId="114">
    <w:name w:val="页脚 字符"/>
    <w:basedOn w:val="48"/>
    <w:link w:val="29"/>
    <w:qFormat/>
    <w:uiPriority w:val="99"/>
    <w:rPr>
      <w:rFonts w:ascii="Times New Roman" w:hAnsi="Times New Roman" w:eastAsia="宋体" w:cs="Times New Roman"/>
      <w:sz w:val="18"/>
      <w:szCs w:val="20"/>
    </w:rPr>
  </w:style>
  <w:style w:type="paragraph" w:customStyle="1" w:styleId="115">
    <w:name w:val="xl29"/>
    <w:basedOn w:val="1"/>
    <w:qFormat/>
    <w:uiPriority w:val="0"/>
    <w:pPr>
      <w:widowControl/>
      <w:spacing w:before="100" w:after="100"/>
      <w:jc w:val="center"/>
    </w:pPr>
    <w:rPr>
      <w:rFonts w:ascii="宋体" w:hAnsi="宋体"/>
      <w:kern w:val="0"/>
      <w:sz w:val="28"/>
    </w:rPr>
  </w:style>
  <w:style w:type="character" w:customStyle="1" w:styleId="116">
    <w:name w:val="批注主题 字符"/>
    <w:basedOn w:val="112"/>
    <w:link w:val="43"/>
    <w:qFormat/>
    <w:uiPriority w:val="0"/>
    <w:rPr>
      <w:rFonts w:ascii="Times New Roman" w:hAnsi="Times New Roman" w:eastAsia="宋体" w:cs="Times New Roman"/>
      <w:b/>
      <w:bCs/>
      <w:szCs w:val="20"/>
    </w:rPr>
  </w:style>
  <w:style w:type="paragraph" w:customStyle="1" w:styleId="117">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18">
    <w:name w:val="表"/>
    <w:basedOn w:val="1"/>
    <w:qFormat/>
    <w:uiPriority w:val="0"/>
    <w:pPr>
      <w:jc w:val="center"/>
    </w:pPr>
    <w:rPr>
      <w:rFonts w:ascii="宋体" w:hAnsi="宋体"/>
    </w:rPr>
  </w:style>
  <w:style w:type="character" w:customStyle="1" w:styleId="119">
    <w:name w:val="正文文本缩进 2 字符"/>
    <w:basedOn w:val="48"/>
    <w:link w:val="27"/>
    <w:qFormat/>
    <w:uiPriority w:val="0"/>
    <w:rPr>
      <w:rFonts w:ascii="仿宋_GB2312" w:hAnsi="Times New Roman" w:eastAsia="仿宋_GB2312" w:cs="Times New Roman"/>
      <w:color w:val="000000"/>
      <w:kern w:val="0"/>
      <w:sz w:val="28"/>
      <w:szCs w:val="20"/>
    </w:rPr>
  </w:style>
  <w:style w:type="paragraph" w:customStyle="1" w:styleId="120">
    <w:name w:val="正文1"/>
    <w:basedOn w:val="1"/>
    <w:qFormat/>
    <w:uiPriority w:val="0"/>
    <w:pPr>
      <w:spacing w:before="60" w:after="60" w:line="360" w:lineRule="auto"/>
      <w:outlineLvl w:val="6"/>
    </w:pPr>
    <w:rPr>
      <w:sz w:val="24"/>
      <w:szCs w:val="24"/>
    </w:rPr>
  </w:style>
  <w:style w:type="paragraph" w:customStyle="1" w:styleId="121">
    <w:name w:val="Char1 Char Char Char Char Char Char Char Char Char"/>
    <w:basedOn w:val="1"/>
    <w:qFormat/>
    <w:uiPriority w:val="0"/>
    <w:pPr>
      <w:widowControl/>
      <w:spacing w:line="400" w:lineRule="exact"/>
      <w:jc w:val="center"/>
    </w:pPr>
    <w:rPr>
      <w:rFonts w:ascii="Verdana" w:hAnsi="Verdana" w:cs="Verdana"/>
      <w:kern w:val="0"/>
      <w:szCs w:val="21"/>
      <w:lang w:eastAsia="en-US"/>
    </w:rPr>
  </w:style>
  <w:style w:type="character" w:customStyle="1" w:styleId="122">
    <w:name w:val="正文文本 3 字符"/>
    <w:basedOn w:val="48"/>
    <w:link w:val="19"/>
    <w:qFormat/>
    <w:uiPriority w:val="0"/>
    <w:rPr>
      <w:rFonts w:ascii="宋体" w:hAnsi="宋体" w:eastAsia="宋体" w:cs="Times New Roman"/>
      <w:b/>
      <w:bCs/>
      <w:szCs w:val="20"/>
    </w:rPr>
  </w:style>
  <w:style w:type="paragraph" w:customStyle="1" w:styleId="123">
    <w:name w:val="正文2"/>
    <w:basedOn w:val="1"/>
    <w:qFormat/>
    <w:uiPriority w:val="0"/>
    <w:pPr>
      <w:spacing w:before="60" w:after="60" w:line="360" w:lineRule="auto"/>
      <w:outlineLvl w:val="7"/>
    </w:pPr>
    <w:rPr>
      <w:sz w:val="24"/>
      <w:szCs w:val="24"/>
    </w:rPr>
  </w:style>
  <w:style w:type="character" w:customStyle="1" w:styleId="124">
    <w:name w:val="正文文本缩进 字符"/>
    <w:basedOn w:val="48"/>
    <w:link w:val="20"/>
    <w:qFormat/>
    <w:uiPriority w:val="0"/>
    <w:rPr>
      <w:rFonts w:ascii="宋体" w:hAnsi="Times New Roman" w:eastAsia="宋体" w:cs="Times New Roman"/>
      <w:sz w:val="24"/>
      <w:szCs w:val="20"/>
    </w:rPr>
  </w:style>
  <w:style w:type="paragraph" w:customStyle="1" w:styleId="125">
    <w:name w:val="章标题"/>
    <w:next w:val="1"/>
    <w:qFormat/>
    <w:uiPriority w:val="0"/>
    <w:pPr>
      <w:spacing w:before="50" w:after="50" w:line="360" w:lineRule="auto"/>
      <w:jc w:val="both"/>
      <w:outlineLvl w:val="1"/>
    </w:pPr>
    <w:rPr>
      <w:rFonts w:ascii="黑体" w:hAnsi="Times New Roman" w:eastAsia="黑体" w:cs="Times New Roman"/>
      <w:sz w:val="21"/>
      <w:lang w:val="en-US" w:eastAsia="zh-CN" w:bidi="ar-SA"/>
    </w:rPr>
  </w:style>
  <w:style w:type="paragraph" w:customStyle="1" w:styleId="126">
    <w:name w:val="Char1"/>
    <w:basedOn w:val="1"/>
    <w:qFormat/>
    <w:uiPriority w:val="0"/>
    <w:pPr>
      <w:widowControl/>
      <w:spacing w:after="160" w:line="240" w:lineRule="exact"/>
      <w:jc w:val="left"/>
    </w:pPr>
    <w:rPr>
      <w:rFonts w:ascii="Verdana" w:hAnsi="Verdana"/>
      <w:kern w:val="0"/>
      <w:lang w:eastAsia="en-US"/>
    </w:rPr>
  </w:style>
  <w:style w:type="paragraph" w:customStyle="1" w:styleId="127">
    <w:name w:val="Char1 Char Char Char"/>
    <w:basedOn w:val="1"/>
    <w:qFormat/>
    <w:uiPriority w:val="0"/>
    <w:pPr>
      <w:ind w:left="420" w:hanging="420"/>
    </w:pPr>
    <w:rPr>
      <w:sz w:val="24"/>
      <w:szCs w:val="24"/>
    </w:rPr>
  </w:style>
  <w:style w:type="paragraph" w:customStyle="1" w:styleId="128">
    <w:name w:val="列出段落11"/>
    <w:basedOn w:val="1"/>
    <w:qFormat/>
    <w:uiPriority w:val="0"/>
    <w:pPr>
      <w:ind w:firstLine="420" w:firstLineChars="200"/>
    </w:pPr>
  </w:style>
  <w:style w:type="paragraph" w:customStyle="1" w:styleId="129">
    <w:name w:val="Char Char"/>
    <w:basedOn w:val="1"/>
    <w:qFormat/>
    <w:uiPriority w:val="0"/>
    <w:pPr>
      <w:widowControl/>
      <w:spacing w:after="160" w:line="240" w:lineRule="exact"/>
      <w:jc w:val="left"/>
    </w:pPr>
    <w:rPr>
      <w:rFonts w:ascii="Verdana" w:hAnsi="Verdana"/>
      <w:kern w:val="0"/>
      <w:lang w:eastAsia="en-US"/>
    </w:rPr>
  </w:style>
  <w:style w:type="paragraph" w:customStyle="1" w:styleId="130">
    <w:name w:val="Char Char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31">
    <w:name w:val="列出段落2"/>
    <w:basedOn w:val="1"/>
    <w:qFormat/>
    <w:uiPriority w:val="0"/>
    <w:pPr>
      <w:ind w:firstLine="420" w:firstLineChars="200"/>
    </w:pPr>
    <w:rPr>
      <w:rFonts w:ascii="Calibri" w:hAnsi="Calibri"/>
      <w:szCs w:val="22"/>
    </w:rPr>
  </w:style>
  <w:style w:type="character" w:customStyle="1" w:styleId="132">
    <w:name w:val="weby11"/>
    <w:qFormat/>
    <w:uiPriority w:val="0"/>
    <w:rPr>
      <w:sz w:val="18"/>
      <w:szCs w:val="18"/>
    </w:rPr>
  </w:style>
  <w:style w:type="paragraph" w:customStyle="1" w:styleId="133">
    <w:name w:val="List Paragraph1"/>
    <w:basedOn w:val="1"/>
    <w:qFormat/>
    <w:uiPriority w:val="34"/>
    <w:pPr>
      <w:ind w:firstLine="420" w:firstLineChars="200"/>
    </w:pPr>
  </w:style>
  <w:style w:type="character" w:customStyle="1" w:styleId="134">
    <w:name w:val="Default Paragraph Font New New"/>
    <w:link w:val="135"/>
    <w:qFormat/>
    <w:locked/>
    <w:uiPriority w:val="99"/>
    <w:rPr>
      <w:rFonts w:ascii="等线" w:hAnsi="等线" w:eastAsia="宋体" w:cs="等线"/>
      <w:kern w:val="2"/>
      <w:sz w:val="24"/>
      <w:szCs w:val="24"/>
    </w:rPr>
  </w:style>
  <w:style w:type="paragraph" w:customStyle="1" w:styleId="135">
    <w:name w:val="Char Char Char New New"/>
    <w:basedOn w:val="1"/>
    <w:link w:val="134"/>
    <w:qFormat/>
    <w:uiPriority w:val="99"/>
    <w:rPr>
      <w:rFonts w:ascii="等线" w:hAnsi="等线" w:cs="等线"/>
      <w:sz w:val="24"/>
      <w:szCs w:val="24"/>
    </w:rPr>
  </w:style>
  <w:style w:type="character" w:customStyle="1" w:styleId="136">
    <w:name w:val="Default Paragraph Font New New New"/>
    <w:link w:val="137"/>
    <w:qFormat/>
    <w:locked/>
    <w:uiPriority w:val="99"/>
    <w:rPr>
      <w:rFonts w:ascii="等线" w:hAnsi="等线" w:eastAsia="宋体" w:cs="等线"/>
      <w:kern w:val="2"/>
      <w:sz w:val="24"/>
      <w:szCs w:val="24"/>
    </w:rPr>
  </w:style>
  <w:style w:type="paragraph" w:customStyle="1" w:styleId="137">
    <w:name w:val="Char Char Char New New New"/>
    <w:basedOn w:val="1"/>
    <w:link w:val="136"/>
    <w:qFormat/>
    <w:uiPriority w:val="99"/>
    <w:rPr>
      <w:rFonts w:ascii="等线" w:hAnsi="等线" w:cs="等线"/>
      <w:sz w:val="24"/>
      <w:szCs w:val="24"/>
    </w:rPr>
  </w:style>
  <w:style w:type="character" w:customStyle="1" w:styleId="138">
    <w:name w:val="Default Paragraph Font New"/>
    <w:link w:val="139"/>
    <w:qFormat/>
    <w:locked/>
    <w:uiPriority w:val="99"/>
    <w:rPr>
      <w:rFonts w:ascii="等线" w:hAnsi="等线" w:eastAsia="宋体" w:cs="等线"/>
      <w:kern w:val="2"/>
      <w:sz w:val="24"/>
      <w:szCs w:val="24"/>
    </w:rPr>
  </w:style>
  <w:style w:type="paragraph" w:customStyle="1" w:styleId="139">
    <w:name w:val="Char Char Char New"/>
    <w:basedOn w:val="1"/>
    <w:link w:val="138"/>
    <w:qFormat/>
    <w:uiPriority w:val="99"/>
    <w:rPr>
      <w:rFonts w:ascii="等线" w:hAnsi="等线" w:cs="等线"/>
      <w:sz w:val="24"/>
      <w:szCs w:val="24"/>
    </w:rPr>
  </w:style>
  <w:style w:type="character" w:customStyle="1" w:styleId="140">
    <w:name w:val="页码1"/>
    <w:basedOn w:val="48"/>
    <w:qFormat/>
    <w:uiPriority w:val="99"/>
  </w:style>
  <w:style w:type="character" w:customStyle="1" w:styleId="141">
    <w:name w:val="默认段落字体1"/>
    <w:link w:val="101"/>
    <w:qFormat/>
    <w:locked/>
    <w:uiPriority w:val="99"/>
    <w:rPr>
      <w:rFonts w:ascii="Tahoma" w:hAnsi="Tahoma" w:eastAsia="宋体" w:cs="Times New Roman"/>
      <w:kern w:val="2"/>
      <w:sz w:val="24"/>
    </w:rPr>
  </w:style>
  <w:style w:type="paragraph" w:customStyle="1" w:styleId="142">
    <w:name w:val="元正正文标题2"/>
    <w:basedOn w:val="5"/>
    <w:qFormat/>
    <w:uiPriority w:val="99"/>
    <w:pPr>
      <w:keepNext w:val="0"/>
      <w:keepLines w:val="0"/>
      <w:tabs>
        <w:tab w:val="left" w:pos="1116"/>
        <w:tab w:val="left" w:pos="2159"/>
      </w:tabs>
      <w:adjustRightInd w:val="0"/>
      <w:snapToGrid w:val="0"/>
      <w:spacing w:before="0" w:after="0" w:line="300" w:lineRule="auto"/>
      <w:jc w:val="center"/>
      <w:outlineLvl w:val="9"/>
    </w:pPr>
    <w:rPr>
      <w:rFonts w:cs="宋体"/>
      <w:bCs/>
      <w:sz w:val="30"/>
      <w:szCs w:val="30"/>
    </w:rPr>
  </w:style>
  <w:style w:type="paragraph" w:customStyle="1" w:styleId="143">
    <w:name w:val="纯文本1"/>
    <w:basedOn w:val="1"/>
    <w:qFormat/>
    <w:uiPriority w:val="99"/>
    <w:rPr>
      <w:rFonts w:ascii="宋体" w:hAnsi="Courier New" w:cs="宋体"/>
      <w:szCs w:val="21"/>
    </w:rPr>
  </w:style>
  <w:style w:type="paragraph" w:customStyle="1" w:styleId="144">
    <w:name w:val="普通(网站)1"/>
    <w:basedOn w:val="1"/>
    <w:qFormat/>
    <w:uiPriority w:val="99"/>
    <w:pPr>
      <w:jc w:val="left"/>
    </w:pPr>
    <w:rPr>
      <w:rFonts w:ascii="Calibri" w:hAnsi="Calibri" w:cs="Calibri"/>
      <w:kern w:val="0"/>
      <w:sz w:val="24"/>
      <w:szCs w:val="24"/>
    </w:rPr>
  </w:style>
  <w:style w:type="paragraph" w:customStyle="1" w:styleId="145">
    <w:name w:val="正文文本 21"/>
    <w:basedOn w:val="1"/>
    <w:qFormat/>
    <w:uiPriority w:val="99"/>
    <w:pPr>
      <w:autoSpaceDE w:val="0"/>
      <w:autoSpaceDN w:val="0"/>
      <w:adjustRightInd w:val="0"/>
      <w:jc w:val="center"/>
    </w:pPr>
    <w:rPr>
      <w:rFonts w:ascii="宋体" w:hAnsi="Calibri" w:cs="宋体"/>
      <w:szCs w:val="21"/>
      <w:lang w:val="zh-CN"/>
    </w:rPr>
  </w:style>
  <w:style w:type="character" w:customStyle="1" w:styleId="146">
    <w:name w:val="font01"/>
    <w:basedOn w:val="48"/>
    <w:qFormat/>
    <w:uiPriority w:val="99"/>
    <w:rPr>
      <w:rFonts w:ascii="Calibri" w:hAnsi="Calibri" w:cs="Calibri"/>
      <w:color w:val="000000"/>
      <w:sz w:val="21"/>
      <w:szCs w:val="21"/>
      <w:u w:val="none"/>
    </w:rPr>
  </w:style>
  <w:style w:type="character" w:customStyle="1" w:styleId="147">
    <w:name w:val="font11"/>
    <w:basedOn w:val="48"/>
    <w:qFormat/>
    <w:uiPriority w:val="99"/>
    <w:rPr>
      <w:rFonts w:ascii="宋体" w:hAnsi="宋体" w:eastAsia="宋体" w:cs="宋体"/>
      <w:color w:val="000000"/>
      <w:sz w:val="21"/>
      <w:szCs w:val="21"/>
      <w:u w:val="none"/>
    </w:rPr>
  </w:style>
  <w:style w:type="character" w:customStyle="1" w:styleId="148">
    <w:name w:val="标题 7 字符"/>
    <w:basedOn w:val="48"/>
    <w:link w:val="9"/>
    <w:qFormat/>
    <w:uiPriority w:val="0"/>
    <w:rPr>
      <w:rFonts w:ascii="Times New Roman" w:hAnsi="Times New Roman" w:eastAsia="宋体" w:cs="Times New Roman"/>
      <w:b/>
      <w:bCs/>
      <w:sz w:val="24"/>
      <w:szCs w:val="24"/>
    </w:rPr>
  </w:style>
  <w:style w:type="character" w:customStyle="1" w:styleId="149">
    <w:name w:val="标题 8 字符"/>
    <w:basedOn w:val="48"/>
    <w:link w:val="10"/>
    <w:qFormat/>
    <w:uiPriority w:val="0"/>
    <w:rPr>
      <w:rFonts w:ascii="Arial" w:hAnsi="Arial" w:eastAsia="黑体" w:cs="Times New Roman"/>
      <w:sz w:val="24"/>
      <w:szCs w:val="24"/>
    </w:rPr>
  </w:style>
  <w:style w:type="character" w:customStyle="1" w:styleId="150">
    <w:name w:val="标题 9 字符"/>
    <w:basedOn w:val="48"/>
    <w:link w:val="11"/>
    <w:qFormat/>
    <w:uiPriority w:val="0"/>
    <w:rPr>
      <w:rFonts w:ascii="Arial" w:hAnsi="Arial" w:eastAsia="黑体" w:cs="Times New Roman"/>
      <w:sz w:val="21"/>
      <w:szCs w:val="21"/>
    </w:rPr>
  </w:style>
  <w:style w:type="character" w:customStyle="1" w:styleId="151">
    <w:name w:val="正文文本首行缩进 字符"/>
    <w:basedOn w:val="95"/>
    <w:link w:val="44"/>
    <w:qFormat/>
    <w:uiPriority w:val="0"/>
    <w:rPr>
      <w:rFonts w:ascii="Times New Roman" w:hAnsi="Times New Roman" w:eastAsia="宋体" w:cs="Times New Roman"/>
      <w:sz w:val="21"/>
      <w:szCs w:val="20"/>
    </w:rPr>
  </w:style>
  <w:style w:type="character" w:customStyle="1" w:styleId="152">
    <w:name w:val="正文文本首行缩进 2 字符"/>
    <w:basedOn w:val="124"/>
    <w:link w:val="45"/>
    <w:qFormat/>
    <w:uiPriority w:val="0"/>
    <w:rPr>
      <w:rFonts w:ascii="Times New Roman" w:hAnsi="Times New Roman" w:eastAsia="宋体" w:cs="Times New Roman"/>
      <w:b/>
      <w:sz w:val="21"/>
      <w:szCs w:val="20"/>
    </w:rPr>
  </w:style>
  <w:style w:type="character" w:customStyle="1" w:styleId="153">
    <w:name w:val="apple-style-span"/>
    <w:basedOn w:val="48"/>
    <w:qFormat/>
    <w:uiPriority w:val="0"/>
    <w:rPr>
      <w:rFonts w:ascii="Verdana" w:hAnsi="Verdana"/>
      <w:lang w:eastAsia="en-US"/>
    </w:rPr>
  </w:style>
  <w:style w:type="character" w:customStyle="1" w:styleId="154">
    <w:name w:val="ww-light ww-large"/>
    <w:basedOn w:val="48"/>
    <w:qFormat/>
    <w:uiPriority w:val="0"/>
    <w:rPr>
      <w:rFonts w:ascii="Verdana" w:hAnsi="Verdana"/>
      <w:lang w:eastAsia="en-US"/>
    </w:rPr>
  </w:style>
  <w:style w:type="paragraph" w:customStyle="1" w:styleId="155">
    <w:name w:val="attention naked"/>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6">
    <w:name w:val="Char Char2 Char"/>
    <w:basedOn w:val="1"/>
    <w:qFormat/>
    <w:uiPriority w:val="0"/>
    <w:rPr>
      <w:rFonts w:ascii="宋体" w:hAnsi="宋体"/>
      <w:b/>
      <w:sz w:val="28"/>
      <w:szCs w:val="28"/>
    </w:rPr>
  </w:style>
  <w:style w:type="paragraph" w:customStyle="1" w:styleId="157">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158">
    <w:name w:val="HZY01级标题"/>
    <w:next w:val="159"/>
    <w:qFormat/>
    <w:uiPriority w:val="0"/>
    <w:pPr>
      <w:numPr>
        <w:ilvl w:val="0"/>
        <w:numId w:val="2"/>
      </w:numPr>
      <w:spacing w:before="200" w:after="60" w:line="360" w:lineRule="auto"/>
      <w:outlineLvl w:val="0"/>
    </w:pPr>
    <w:rPr>
      <w:rFonts w:ascii="Times New Roman" w:hAnsi="Times New Roman" w:eastAsia="宋体" w:cs="Times New Roman"/>
      <w:b/>
      <w:sz w:val="32"/>
      <w:szCs w:val="21"/>
      <w:lang w:val="en-US" w:eastAsia="en-US" w:bidi="en-US"/>
    </w:rPr>
  </w:style>
  <w:style w:type="paragraph" w:customStyle="1" w:styleId="159">
    <w:name w:val="HZY正文"/>
    <w:qFormat/>
    <w:uiPriority w:val="0"/>
    <w:pPr>
      <w:widowControl w:val="0"/>
      <w:spacing w:after="200" w:line="360" w:lineRule="auto"/>
      <w:ind w:firstLine="200" w:firstLineChars="200"/>
    </w:pPr>
    <w:rPr>
      <w:rFonts w:ascii="Times New Roman" w:hAnsi="Times New Roman" w:eastAsia="宋体" w:cs="Times New Roman"/>
      <w:sz w:val="24"/>
      <w:szCs w:val="21"/>
      <w:lang w:val="en-US" w:eastAsia="en-US" w:bidi="en-US"/>
    </w:rPr>
  </w:style>
  <w:style w:type="paragraph" w:customStyle="1" w:styleId="160">
    <w:name w:val="列出段落3"/>
    <w:basedOn w:val="1"/>
    <w:qFormat/>
    <w:uiPriority w:val="0"/>
    <w:pPr>
      <w:widowControl/>
      <w:ind w:firstLine="420" w:firstLineChars="200"/>
      <w:jc w:val="left"/>
    </w:pPr>
    <w:rPr>
      <w:rFonts w:ascii="Calibri" w:hAnsi="Calibri"/>
      <w:kern w:val="0"/>
      <w:szCs w:val="22"/>
    </w:rPr>
  </w:style>
  <w:style w:type="paragraph" w:customStyle="1" w:styleId="161">
    <w:name w:val="投标文件3"/>
    <w:basedOn w:val="1"/>
    <w:qFormat/>
    <w:uiPriority w:val="0"/>
    <w:pPr>
      <w:widowControl/>
      <w:spacing w:line="360" w:lineRule="auto"/>
    </w:pPr>
    <w:rPr>
      <w:rFonts w:ascii="宋体" w:hAnsi="Courier New" w:eastAsia="黑体"/>
      <w:b/>
      <w:sz w:val="30"/>
    </w:rPr>
  </w:style>
  <w:style w:type="paragraph" w:customStyle="1" w:styleId="162">
    <w:name w:val="题注4"/>
    <w:basedOn w:val="1"/>
    <w:next w:val="14"/>
    <w:qFormat/>
    <w:uiPriority w:val="0"/>
    <w:pPr>
      <w:ind w:left="-132" w:leftChars="-64" w:right="-105" w:rightChars="-50" w:hanging="2"/>
      <w:jc w:val="center"/>
    </w:pPr>
    <w:rPr>
      <w:b/>
      <w:color w:val="FF0000"/>
      <w:szCs w:val="21"/>
      <w:lang w:val="en-GB"/>
    </w:rPr>
  </w:style>
  <w:style w:type="paragraph" w:customStyle="1" w:styleId="16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Char Char Char Char"/>
    <w:basedOn w:val="1"/>
    <w:qFormat/>
    <w:uiPriority w:val="0"/>
    <w:pPr>
      <w:widowControl/>
      <w:jc w:val="left"/>
    </w:pPr>
    <w:rPr>
      <w:kern w:val="0"/>
    </w:rPr>
  </w:style>
  <w:style w:type="paragraph" w:customStyle="1" w:styleId="165">
    <w:name w:val="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6">
    <w:name w:val="默认段落字体 Para Char Char Char Char1 Char Char Char"/>
    <w:basedOn w:val="1"/>
    <w:qFormat/>
    <w:uiPriority w:val="0"/>
    <w:rPr>
      <w:szCs w:val="24"/>
    </w:rPr>
  </w:style>
  <w:style w:type="paragraph" w:customStyle="1" w:styleId="167">
    <w:name w:val="tb-public-price1"/>
    <w:basedOn w:val="1"/>
    <w:qFormat/>
    <w:uiPriority w:val="0"/>
    <w:pPr>
      <w:widowControl/>
      <w:pBdr>
        <w:top w:val="single" w:color="D7D7D7" w:sz="6" w:space="6"/>
        <w:left w:val="single" w:color="D7D7D7" w:sz="6" w:space="8"/>
        <w:bottom w:val="single" w:color="D7D7D7" w:sz="6" w:space="6"/>
        <w:right w:val="single" w:color="D7D7D7" w:sz="6" w:space="8"/>
      </w:pBdr>
      <w:shd w:val="clear" w:color="auto" w:fill="F9F9F9"/>
      <w:spacing w:before="100" w:beforeAutospacing="1" w:after="100" w:afterAutospacing="1"/>
      <w:jc w:val="left"/>
    </w:pPr>
    <w:rPr>
      <w:rFonts w:ascii="宋体" w:hAnsi="宋体" w:cs="宋体"/>
      <w:kern w:val="0"/>
      <w:sz w:val="24"/>
      <w:szCs w:val="24"/>
    </w:rPr>
  </w:style>
  <w:style w:type="paragraph" w:customStyle="1" w:styleId="168">
    <w:name w:val="正文 New New New New New New New New"/>
    <w:qFormat/>
    <w:uiPriority w:val="99"/>
    <w:pPr>
      <w:widowControl w:val="0"/>
      <w:jc w:val="both"/>
    </w:pPr>
    <w:rPr>
      <w:rFonts w:ascii="宋体" w:hAnsi="宋体" w:eastAsia="宋体" w:cs="Times New Roman"/>
      <w:kern w:val="16"/>
      <w:sz w:val="21"/>
      <w:szCs w:val="24"/>
      <w:lang w:val="en-US" w:eastAsia="zh-CN" w:bidi="ar-SA"/>
    </w:rPr>
  </w:style>
  <w:style w:type="paragraph" w:customStyle="1" w:styleId="169">
    <w:name w:val="表格文字"/>
    <w:basedOn w:val="1"/>
    <w:qFormat/>
    <w:uiPriority w:val="0"/>
    <w:pPr>
      <w:spacing w:before="25" w:after="25"/>
      <w:jc w:val="left"/>
    </w:pPr>
    <w:rPr>
      <w:bCs/>
      <w:spacing w:val="10"/>
      <w:kern w:val="0"/>
      <w:sz w:val="24"/>
    </w:rPr>
  </w:style>
  <w:style w:type="paragraph" w:customStyle="1" w:styleId="170">
    <w:name w:val="正文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题注5"/>
    <w:basedOn w:val="1"/>
    <w:next w:val="14"/>
    <w:qFormat/>
    <w:uiPriority w:val="0"/>
    <w:pPr>
      <w:jc w:val="center"/>
    </w:pPr>
    <w:rPr>
      <w:b/>
      <w:color w:val="000000"/>
      <w:sz w:val="24"/>
      <w:szCs w:val="21"/>
    </w:rPr>
  </w:style>
  <w:style w:type="paragraph" w:customStyle="1" w:styleId="172">
    <w:name w:val="font5"/>
    <w:basedOn w:val="1"/>
    <w:qFormat/>
    <w:uiPriority w:val="0"/>
    <w:pPr>
      <w:widowControl/>
      <w:spacing w:before="100" w:beforeAutospacing="1" w:after="100" w:afterAutospacing="1"/>
      <w:jc w:val="left"/>
    </w:pPr>
    <w:rPr>
      <w:rFonts w:ascii="宋体" w:hAnsi="宋体"/>
      <w:kern w:val="0"/>
      <w:sz w:val="18"/>
    </w:rPr>
  </w:style>
  <w:style w:type="paragraph" w:customStyle="1" w:styleId="173">
    <w:name w:val="font10"/>
    <w:basedOn w:val="1"/>
    <w:qFormat/>
    <w:uiPriority w:val="0"/>
    <w:pPr>
      <w:widowControl/>
      <w:spacing w:before="100" w:beforeAutospacing="1" w:after="100" w:afterAutospacing="1"/>
      <w:jc w:val="left"/>
    </w:pPr>
    <w:rPr>
      <w:rFonts w:ascii="宋体" w:hAnsi="宋体"/>
      <w:kern w:val="0"/>
      <w:sz w:val="18"/>
    </w:rPr>
  </w:style>
  <w:style w:type="paragraph" w:customStyle="1" w:styleId="17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18"/>
    </w:rPr>
  </w:style>
  <w:style w:type="paragraph" w:customStyle="1" w:styleId="17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rPr>
  </w:style>
  <w:style w:type="paragraph" w:customStyle="1" w:styleId="1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rPr>
  </w:style>
  <w:style w:type="paragraph" w:customStyle="1" w:styleId="17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rPr>
  </w:style>
  <w:style w:type="paragraph" w:customStyle="1" w:styleId="178">
    <w:name w:val="font6"/>
    <w:basedOn w:val="1"/>
    <w:qFormat/>
    <w:uiPriority w:val="0"/>
    <w:pPr>
      <w:widowControl/>
      <w:spacing w:before="100" w:beforeAutospacing="1" w:after="100" w:afterAutospacing="1"/>
      <w:jc w:val="left"/>
    </w:pPr>
    <w:rPr>
      <w:rFonts w:ascii="宋体" w:hAnsi="宋体"/>
      <w:b/>
      <w:kern w:val="0"/>
      <w:sz w:val="22"/>
    </w:rPr>
  </w:style>
  <w:style w:type="paragraph" w:customStyle="1" w:styleId="17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2"/>
    </w:rPr>
  </w:style>
  <w:style w:type="paragraph" w:customStyle="1" w:styleId="180">
    <w:name w:val="font9"/>
    <w:basedOn w:val="1"/>
    <w:qFormat/>
    <w:uiPriority w:val="0"/>
    <w:pPr>
      <w:widowControl/>
      <w:spacing w:before="100" w:beforeAutospacing="1" w:after="100" w:afterAutospacing="1"/>
      <w:jc w:val="left"/>
    </w:pPr>
    <w:rPr>
      <w:rFonts w:ascii="Arial" w:hAnsi="Arial"/>
      <w:kern w:val="0"/>
      <w:sz w:val="18"/>
    </w:rPr>
  </w:style>
  <w:style w:type="paragraph" w:customStyle="1" w:styleId="18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rPr>
  </w:style>
  <w:style w:type="paragraph" w:customStyle="1" w:styleId="182">
    <w:name w:val="font7"/>
    <w:basedOn w:val="1"/>
    <w:qFormat/>
    <w:uiPriority w:val="0"/>
    <w:pPr>
      <w:widowControl/>
      <w:spacing w:before="100" w:beforeAutospacing="1" w:after="100" w:afterAutospacing="1"/>
      <w:jc w:val="left"/>
    </w:pPr>
    <w:rPr>
      <w:rFonts w:ascii="Arial" w:hAnsi="Arial"/>
      <w:b/>
      <w:kern w:val="0"/>
      <w:sz w:val="22"/>
    </w:rPr>
  </w:style>
  <w:style w:type="paragraph" w:customStyle="1" w:styleId="18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rPr>
  </w:style>
  <w:style w:type="paragraph" w:customStyle="1" w:styleId="18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rPr>
  </w:style>
  <w:style w:type="paragraph" w:customStyle="1" w:styleId="185">
    <w:name w:val="font8"/>
    <w:basedOn w:val="1"/>
    <w:qFormat/>
    <w:uiPriority w:val="0"/>
    <w:pPr>
      <w:widowControl/>
      <w:spacing w:before="100" w:beforeAutospacing="1" w:after="100" w:afterAutospacing="1"/>
      <w:jc w:val="left"/>
    </w:pPr>
    <w:rPr>
      <w:rFonts w:ascii="Arial" w:hAnsi="Arial"/>
      <w:kern w:val="0"/>
      <w:sz w:val="18"/>
    </w:rPr>
  </w:style>
  <w:style w:type="paragraph" w:customStyle="1" w:styleId="18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2"/>
    </w:rPr>
  </w:style>
  <w:style w:type="paragraph" w:customStyle="1" w:styleId="1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rPr>
  </w:style>
  <w:style w:type="paragraph" w:customStyle="1" w:styleId="1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b/>
      <w:kern w:val="0"/>
      <w:sz w:val="18"/>
    </w:rPr>
  </w:style>
  <w:style w:type="paragraph" w:customStyle="1" w:styleId="189">
    <w:name w:val="Char11"/>
    <w:basedOn w:val="1"/>
    <w:qFormat/>
    <w:uiPriority w:val="0"/>
    <w:pPr>
      <w:widowControl/>
      <w:spacing w:after="160" w:line="240" w:lineRule="exact"/>
      <w:jc w:val="left"/>
    </w:pPr>
  </w:style>
  <w:style w:type="paragraph" w:customStyle="1" w:styleId="190">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191">
    <w:name w:val="第二级"/>
    <w:qFormat/>
    <w:uiPriority w:val="0"/>
    <w:pPr>
      <w:keepNext/>
      <w:keepLines/>
      <w:widowControl w:val="0"/>
      <w:spacing w:before="260" w:after="260" w:line="416" w:lineRule="auto"/>
      <w:jc w:val="both"/>
      <w:outlineLvl w:val="1"/>
    </w:pPr>
    <w:rPr>
      <w:rFonts w:ascii="Cambria" w:hAnsi="Cambria" w:eastAsia="Cambria" w:cs="Cambria"/>
      <w:b/>
      <w:bCs/>
      <w:color w:val="000000"/>
      <w:kern w:val="2"/>
      <w:sz w:val="32"/>
      <w:szCs w:val="32"/>
      <w:lang w:val="en-US" w:eastAsia="zh-CN" w:bidi="ar-SA"/>
    </w:rPr>
  </w:style>
  <w:style w:type="paragraph" w:customStyle="1" w:styleId="192">
    <w:name w:val="正文缩进2"/>
    <w:basedOn w:val="1"/>
    <w:qFormat/>
    <w:uiPriority w:val="0"/>
    <w:pPr>
      <w:widowControl/>
      <w:spacing w:line="360" w:lineRule="auto"/>
      <w:ind w:firstLine="420"/>
      <w:jc w:val="left"/>
    </w:pPr>
    <w:rPr>
      <w:spacing w:val="-2"/>
      <w:szCs w:val="24"/>
    </w:rPr>
  </w:style>
  <w:style w:type="paragraph" w:customStyle="1" w:styleId="193">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194">
    <w:name w:val="正文_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正文 New New New New"/>
    <w:qFormat/>
    <w:uiPriority w:val="0"/>
    <w:pPr>
      <w:widowControl w:val="0"/>
      <w:jc w:val="both"/>
    </w:pPr>
    <w:rPr>
      <w:rFonts w:asciiTheme="minorHAnsi" w:hAnsiTheme="minorHAnsi" w:eastAsiaTheme="minorEastAsia" w:cstheme="minorBidi"/>
      <w:sz w:val="21"/>
      <w:szCs w:val="22"/>
      <w:lang w:val="en-US" w:eastAsia="zh-CN" w:bidi="ar-SA"/>
    </w:rPr>
  </w:style>
  <w:style w:type="paragraph" w:customStyle="1" w:styleId="196">
    <w:name w:val="正文 New New New New New New New New New New New"/>
    <w:qFormat/>
    <w:uiPriority w:val="0"/>
    <w:pPr>
      <w:widowControl w:val="0"/>
      <w:jc w:val="both"/>
    </w:pPr>
    <w:rPr>
      <w:rFonts w:ascii="宋体" w:hAnsi="宋体" w:eastAsiaTheme="minorEastAsia" w:cstheme="minorBidi"/>
      <w:kern w:val="16"/>
      <w:sz w:val="21"/>
      <w:szCs w:val="24"/>
      <w:lang w:val="en-US" w:eastAsia="zh-CN" w:bidi="ar-SA"/>
    </w:rPr>
  </w:style>
  <w:style w:type="character" w:customStyle="1" w:styleId="197">
    <w:name w:val="本文正文 Char1 Char Char Char Char Char Char Char Char Char Char Char Char Char Char Char Char Char Char Char Char Char Char Char Char Char Char"/>
    <w:link w:val="198"/>
    <w:qFormat/>
    <w:uiPriority w:val="0"/>
    <w:rPr>
      <w:rFonts w:ascii="宋体" w:hAnsi="宋体"/>
      <w:kern w:val="0"/>
      <w:sz w:val="24"/>
    </w:rPr>
  </w:style>
  <w:style w:type="paragraph" w:customStyle="1" w:styleId="198">
    <w:name w:val="本文正文 Char1 Char Char Char Char Char Char Char Char Char Char Char Char Char Char Char Char Char Char Char Char Char Char Char Char"/>
    <w:basedOn w:val="1"/>
    <w:link w:val="197"/>
    <w:qFormat/>
    <w:uiPriority w:val="0"/>
    <w:pPr>
      <w:widowControl/>
      <w:spacing w:line="480" w:lineRule="exact"/>
      <w:ind w:firstLine="200" w:firstLineChars="200"/>
      <w:jc w:val="left"/>
    </w:pPr>
    <w:rPr>
      <w:rFonts w:ascii="宋体" w:hAnsi="宋体"/>
      <w:kern w:val="0"/>
      <w:sz w:val="24"/>
    </w:rPr>
  </w:style>
  <w:style w:type="paragraph" w:customStyle="1" w:styleId="199">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0">
    <w:name w:val="列出段落4"/>
    <w:basedOn w:val="1"/>
    <w:qFormat/>
    <w:uiPriority w:val="34"/>
    <w:pPr>
      <w:ind w:firstLine="420" w:firstLineChars="200"/>
    </w:pPr>
  </w:style>
  <w:style w:type="paragraph" w:customStyle="1" w:styleId="201">
    <w:name w:val="wsf"/>
    <w:basedOn w:val="1"/>
    <w:qFormat/>
    <w:uiPriority w:val="0"/>
    <w:pPr>
      <w:outlineLvl w:val="0"/>
    </w:pPr>
    <w:rPr>
      <w:rFonts w:ascii="Calibri" w:hAnsi="Calibri"/>
      <w:b/>
      <w:sz w:val="24"/>
      <w:szCs w:val="22"/>
    </w:rPr>
  </w:style>
  <w:style w:type="paragraph" w:customStyle="1" w:styleId="202">
    <w:name w:val="Table Paragraph"/>
    <w:basedOn w:val="1"/>
    <w:unhideWhenUsed/>
    <w:qFormat/>
    <w:uiPriority w:val="1"/>
    <w:rPr>
      <w:rFonts w:cs="宋体"/>
    </w:rPr>
  </w:style>
  <w:style w:type="paragraph" w:customStyle="1" w:styleId="203">
    <w:name w:val="列出段落5"/>
    <w:basedOn w:val="1"/>
    <w:unhideWhenUsed/>
    <w:qFormat/>
    <w:uiPriority w:val="34"/>
    <w:pPr>
      <w:ind w:firstLine="420" w:firstLineChars="200"/>
    </w:pPr>
    <w:rPr>
      <w:rFonts w:ascii="Calibri" w:hAnsi="Calibri"/>
    </w:rPr>
  </w:style>
  <w:style w:type="paragraph" w:customStyle="1" w:styleId="20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5">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基本段落]"/>
    <w:basedOn w:val="1"/>
    <w:qFormat/>
    <w:uiPriority w:val="0"/>
    <w:pPr>
      <w:autoSpaceDE w:val="0"/>
      <w:autoSpaceDN w:val="0"/>
      <w:adjustRightInd w:val="0"/>
      <w:spacing w:line="288" w:lineRule="auto"/>
    </w:pPr>
    <w:rPr>
      <w:rFonts w:ascii="Adobe 宋体 Std L" w:eastAsia="Adobe 宋体 Std L" w:cs="Adobe 宋体 Std L"/>
      <w:color w:val="000000"/>
      <w:kern w:val="0"/>
      <w:sz w:val="24"/>
      <w:lang w:val="zh-CN"/>
    </w:rPr>
  </w:style>
  <w:style w:type="paragraph" w:customStyle="1" w:styleId="207">
    <w:name w:val="正文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08">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宋体" w:hAnsi="宋体" w:eastAsia="宋体" w:cs="Times New Roman"/>
      <w:kern w:val="16"/>
      <w:sz w:val="21"/>
      <w:szCs w:val="24"/>
      <w:lang w:val="en-US" w:eastAsia="zh-CN" w:bidi="ar-SA"/>
    </w:rPr>
  </w:style>
  <w:style w:type="paragraph" w:customStyle="1" w:styleId="209">
    <w:name w:val="正文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10">
    <w:name w:val="TOC1"/>
    <w:next w:val="1"/>
    <w:qFormat/>
    <w:uiPriority w:val="0"/>
    <w:pPr>
      <w:widowControl w:val="0"/>
      <w:spacing w:before="120" w:after="120"/>
      <w:textAlignment w:val="baseline"/>
    </w:pPr>
    <w:rPr>
      <w:rFonts w:ascii="宋体" w:hAnsi="宋体" w:eastAsia="宋体" w:cs="Times New Roman"/>
      <w:b/>
      <w:bCs/>
      <w:caps/>
      <w:kern w:val="2"/>
      <w:sz w:val="24"/>
      <w:szCs w:val="24"/>
      <w:lang w:val="en-US" w:eastAsia="zh-CN" w:bidi="ar-SA"/>
    </w:rPr>
  </w:style>
  <w:style w:type="paragraph" w:customStyle="1" w:styleId="211">
    <w:name w:val="正文 New New New New New New New New New New New New New New New New New New New New New New New New New New New New New New New New New New New New New New New New New New New New New New New New New New New New New New New New New New New New"/>
    <w:next w:val="58"/>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样式1"/>
    <w:basedOn w:val="1"/>
    <w:next w:val="213"/>
    <w:qFormat/>
    <w:uiPriority w:val="0"/>
    <w:rPr>
      <w:rFonts w:ascii="Calibri" w:hAnsi="Calibri"/>
      <w:b/>
      <w:bCs/>
    </w:rPr>
  </w:style>
  <w:style w:type="paragraph" w:customStyle="1" w:styleId="213">
    <w:name w:val="样式2"/>
    <w:basedOn w:val="5"/>
    <w:qFormat/>
    <w:uiPriority w:val="0"/>
    <w:pPr>
      <w:numPr>
        <w:ilvl w:val="0"/>
        <w:numId w:val="3"/>
      </w:numPr>
      <w:tabs>
        <w:tab w:val="left" w:pos="720"/>
      </w:tabs>
      <w:spacing w:before="560" w:line="400" w:lineRule="exact"/>
      <w:jc w:val="center"/>
      <w:outlineLvl w:val="0"/>
    </w:pPr>
    <w:rPr>
      <w:rFonts w:ascii="Times New Roman" w:hAnsi="Times New Roman"/>
      <w:b w:val="0"/>
      <w:sz w:val="44"/>
    </w:rPr>
  </w:style>
  <w:style w:type="table" w:customStyle="1" w:styleId="214">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215">
    <w:name w:val="font12"/>
    <w:basedOn w:val="48"/>
    <w:qFormat/>
    <w:uiPriority w:val="0"/>
    <w:rPr>
      <w:rFonts w:hint="eastAsia" w:ascii="宋体" w:hAnsi="宋体" w:eastAsia="宋体" w:cs="宋体"/>
      <w:b/>
      <w:color w:val="FF0000"/>
      <w:sz w:val="22"/>
      <w:szCs w:val="22"/>
      <w:u w:val="none"/>
    </w:rPr>
  </w:style>
  <w:style w:type="character" w:customStyle="1" w:styleId="216">
    <w:name w:val="font61"/>
    <w:basedOn w:val="48"/>
    <w:qFormat/>
    <w:uiPriority w:val="0"/>
    <w:rPr>
      <w:rFonts w:hint="eastAsia" w:ascii="宋体" w:hAnsi="宋体" w:eastAsia="宋体" w:cs="宋体"/>
      <w:color w:val="000000"/>
      <w:sz w:val="22"/>
      <w:szCs w:val="22"/>
      <w:u w:val="none"/>
    </w:rPr>
  </w:style>
  <w:style w:type="character" w:customStyle="1" w:styleId="217">
    <w:name w:val="font101"/>
    <w:basedOn w:val="48"/>
    <w:qFormat/>
    <w:uiPriority w:val="0"/>
    <w:rPr>
      <w:rFonts w:hint="eastAsia" w:ascii="宋体" w:hAnsi="宋体" w:eastAsia="宋体" w:cs="宋体"/>
      <w:color w:val="000000"/>
      <w:sz w:val="22"/>
      <w:szCs w:val="22"/>
      <w:u w:val="none"/>
    </w:rPr>
  </w:style>
  <w:style w:type="character" w:customStyle="1" w:styleId="218">
    <w:name w:val="NormalCharacter"/>
    <w:semiHidden/>
    <w:qFormat/>
    <w:uiPriority w:val="0"/>
    <w:rPr>
      <w:rFonts w:ascii="宋体" w:hAnsi="宋体" w:eastAsia="宋体" w:cs="宋体"/>
      <w:kern w:val="2"/>
      <w:sz w:val="21"/>
      <w:szCs w:val="24"/>
      <w:lang w:val="en-US" w:eastAsia="zh-CN" w:bidi="ar-SA"/>
    </w:rPr>
  </w:style>
  <w:style w:type="paragraph" w:customStyle="1" w:styleId="219">
    <w:name w:val="TableOfAuthoring"/>
    <w:basedOn w:val="1"/>
    <w:next w:val="1"/>
    <w:qFormat/>
    <w:uiPriority w:val="0"/>
    <w:pPr>
      <w:ind w:left="420" w:leftChars="200"/>
      <w:textAlignment w:val="baseline"/>
    </w:pPr>
  </w:style>
  <w:style w:type="character" w:customStyle="1" w:styleId="220">
    <w:name w:val="UserStyle_3"/>
    <w:qFormat/>
    <w:uiPriority w:val="0"/>
    <w:rPr>
      <w:rFonts w:ascii="宋体" w:hAnsi="宋体" w:eastAsia="宋体"/>
      <w:sz w:val="21"/>
      <w:szCs w:val="21"/>
    </w:rPr>
  </w:style>
  <w:style w:type="paragraph" w:customStyle="1" w:styleId="221">
    <w:name w:val="正文 New New New New New New New New New New New New New New New"/>
    <w:qFormat/>
    <w:uiPriority w:val="0"/>
    <w:pPr>
      <w:widowControl w:val="0"/>
      <w:jc w:val="both"/>
    </w:pPr>
    <w:rPr>
      <w:rFonts w:ascii="宋体" w:hAnsi="宋体" w:eastAsia="宋体" w:cs="宋体"/>
      <w:kern w:val="2"/>
      <w:sz w:val="21"/>
      <w:szCs w:val="24"/>
      <w:lang w:val="en-US" w:eastAsia="zh-CN" w:bidi="ar-SA"/>
    </w:rPr>
  </w:style>
  <w:style w:type="character" w:customStyle="1" w:styleId="222">
    <w:name w:val="font21"/>
    <w:basedOn w:val="48"/>
    <w:qFormat/>
    <w:uiPriority w:val="0"/>
    <w:rPr>
      <w:rFonts w:hint="eastAsia" w:ascii="宋体" w:hAnsi="宋体" w:eastAsia="宋体" w:cs="宋体"/>
      <w:color w:val="000000"/>
      <w:sz w:val="22"/>
      <w:szCs w:val="22"/>
      <w:u w:val="none"/>
    </w:rPr>
  </w:style>
  <w:style w:type="character" w:customStyle="1" w:styleId="223">
    <w:name w:val="font91"/>
    <w:basedOn w:val="48"/>
    <w:qFormat/>
    <w:uiPriority w:val="0"/>
    <w:rPr>
      <w:rFonts w:hint="default" w:ascii="Arial" w:hAnsi="Arial" w:cs="Arial"/>
      <w:color w:val="000000"/>
      <w:sz w:val="21"/>
      <w:szCs w:val="21"/>
      <w:u w:val="none"/>
    </w:rPr>
  </w:style>
  <w:style w:type="character" w:customStyle="1" w:styleId="224">
    <w:name w:val="font112"/>
    <w:basedOn w:val="48"/>
    <w:qFormat/>
    <w:uiPriority w:val="0"/>
    <w:rPr>
      <w:rFonts w:hint="eastAsia" w:ascii="宋体" w:hAnsi="宋体" w:eastAsia="宋体" w:cs="宋体"/>
      <w:color w:val="FF0000"/>
      <w:sz w:val="21"/>
      <w:szCs w:val="21"/>
      <w:u w:val="none"/>
    </w:rPr>
  </w:style>
  <w:style w:type="character" w:customStyle="1" w:styleId="225">
    <w:name w:val="font31"/>
    <w:basedOn w:val="48"/>
    <w:qFormat/>
    <w:uiPriority w:val="0"/>
    <w:rPr>
      <w:rFonts w:hint="eastAsia" w:ascii="宋体" w:hAnsi="宋体" w:eastAsia="宋体" w:cs="宋体"/>
      <w:color w:val="000000"/>
      <w:sz w:val="24"/>
      <w:szCs w:val="24"/>
      <w:u w:val="none"/>
    </w:rPr>
  </w:style>
  <w:style w:type="character" w:customStyle="1" w:styleId="226">
    <w:name w:val="font51"/>
    <w:basedOn w:val="48"/>
    <w:qFormat/>
    <w:uiPriority w:val="0"/>
    <w:rPr>
      <w:rFonts w:hint="eastAsia" w:ascii="宋体" w:hAnsi="宋体" w:eastAsia="宋体" w:cs="宋体"/>
      <w:color w:val="000000"/>
      <w:sz w:val="21"/>
      <w:szCs w:val="21"/>
      <w:u w:val="none"/>
    </w:rPr>
  </w:style>
  <w:style w:type="character" w:customStyle="1" w:styleId="227">
    <w:name w:val="font41"/>
    <w:basedOn w:val="48"/>
    <w:qFormat/>
    <w:uiPriority w:val="0"/>
    <w:rPr>
      <w:rFonts w:hint="default" w:ascii="Arial" w:hAnsi="Arial" w:cs="Arial"/>
      <w:color w:val="000000"/>
      <w:sz w:val="24"/>
      <w:szCs w:val="24"/>
      <w:u w:val="none"/>
    </w:rPr>
  </w:style>
  <w:style w:type="character" w:customStyle="1" w:styleId="228">
    <w:name w:val="font81"/>
    <w:basedOn w:val="48"/>
    <w:qFormat/>
    <w:uiPriority w:val="0"/>
    <w:rPr>
      <w:rFonts w:hint="eastAsia" w:ascii="宋体" w:hAnsi="宋体" w:eastAsia="宋体" w:cs="宋体"/>
      <w:color w:val="FF0000"/>
      <w:sz w:val="24"/>
      <w:szCs w:val="24"/>
      <w:u w:val="none"/>
    </w:rPr>
  </w:style>
  <w:style w:type="character" w:customStyle="1" w:styleId="229">
    <w:name w:val="font71"/>
    <w:basedOn w:val="48"/>
    <w:qFormat/>
    <w:uiPriority w:val="0"/>
    <w:rPr>
      <w:rFonts w:hint="default" w:ascii="Calibri" w:hAnsi="Calibri" w:cs="Calibri"/>
      <w:color w:val="000000"/>
      <w:sz w:val="24"/>
      <w:szCs w:val="24"/>
      <w:u w:val="none"/>
    </w:rPr>
  </w:style>
  <w:style w:type="paragraph" w:customStyle="1" w:styleId="230">
    <w:name w:val="GP正文(首行缩进)"/>
    <w:qFormat/>
    <w:uiPriority w:val="0"/>
    <w:pPr>
      <w:widowControl w:val="0"/>
      <w:spacing w:line="360" w:lineRule="auto"/>
      <w:ind w:firstLine="480" w:firstLineChars="200"/>
    </w:pPr>
    <w:rPr>
      <w:rFonts w:ascii="Times New Roman" w:hAnsi="宋体" w:eastAsia="仿宋" w:cs="Times New Roman"/>
      <w:kern w:val="2"/>
      <w:sz w:val="28"/>
      <w:szCs w:val="24"/>
      <w:lang w:val="en-US" w:eastAsia="zh-CN" w:bidi="ar-SA"/>
    </w:rPr>
  </w:style>
  <w:style w:type="paragraph" w:customStyle="1" w:styleId="231">
    <w:name w:val="null3"/>
    <w:hidden/>
    <w:qFormat/>
    <w:uiPriority w:val="0"/>
    <w:rPr>
      <w:rFonts w:hint="eastAsia" w:asciiTheme="minorHAnsi" w:hAnsiTheme="minorHAnsi" w:eastAsiaTheme="minorEastAsia" w:cstheme="minorBidi"/>
      <w:lang w:val="en-US" w:eastAsia="zh-Hans"/>
    </w:rPr>
  </w:style>
  <w:style w:type="paragraph" w:styleId="232">
    <w:name w:val="List Paragraph"/>
    <w:basedOn w:val="1"/>
    <w:unhideWhenUsed/>
    <w:qFormat/>
    <w:uiPriority w:val="1"/>
    <w:pPr>
      <w:spacing w:before="260"/>
      <w:ind w:left="979" w:hanging="280"/>
    </w:pPr>
    <w:rPr>
      <w:sz w:val="24"/>
    </w:rPr>
  </w:style>
  <w:style w:type="paragraph" w:customStyle="1" w:styleId="233">
    <w:name w:val="二级标题"/>
    <w:basedOn w:val="1"/>
    <w:qFormat/>
    <w:uiPriority w:val="0"/>
    <w:pPr>
      <w:numPr>
        <w:ilvl w:val="1"/>
        <w:numId w:val="4"/>
      </w:numPr>
      <w:jc w:val="left"/>
      <w:outlineLvl w:val="1"/>
    </w:pPr>
    <w:rPr>
      <w:rFonts w:ascii="楷体_GB2312" w:hAnsi="华文楷体" w:eastAsia="楷体_GB2312"/>
      <w:bCs/>
      <w:sz w:val="28"/>
      <w:szCs w:val="28"/>
    </w:rPr>
  </w:style>
  <w:style w:type="paragraph" w:customStyle="1" w:styleId="234">
    <w:name w:val="三级标题"/>
    <w:basedOn w:val="1"/>
    <w:qFormat/>
    <w:uiPriority w:val="0"/>
    <w:pPr>
      <w:numPr>
        <w:ilvl w:val="2"/>
        <w:numId w:val="4"/>
      </w:numPr>
      <w:jc w:val="left"/>
      <w:outlineLvl w:val="2"/>
    </w:pPr>
    <w:rPr>
      <w:rFonts w:ascii="仿宋_GB2312" w:hAnsi="仿宋" w:eastAsia="仿宋_GB2312"/>
      <w:b/>
      <w:sz w:val="28"/>
      <w:szCs w:val="28"/>
    </w:rPr>
  </w:style>
  <w:style w:type="paragraph" w:customStyle="1" w:styleId="235">
    <w:name w:val="立项正文"/>
    <w:basedOn w:val="1"/>
    <w:qFormat/>
    <w:uiPriority w:val="0"/>
    <w:rPr>
      <w:rFonts w:cs="宋体"/>
      <w:szCs w:val="24"/>
    </w:rPr>
  </w:style>
  <w:style w:type="character" w:customStyle="1" w:styleId="236">
    <w:name w:val="font121"/>
    <w:qFormat/>
    <w:uiPriority w:val="0"/>
    <w:rPr>
      <w:rFonts w:hint="eastAsia" w:ascii="宋体" w:hAnsi="宋体" w:eastAsia="宋体" w:cs="宋体"/>
      <w:color w:val="000000"/>
      <w:sz w:val="22"/>
      <w:szCs w:val="22"/>
      <w:u w:val="none"/>
    </w:rPr>
  </w:style>
  <w:style w:type="character" w:customStyle="1" w:styleId="237">
    <w:name w:val="font13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50</Pages>
  <Words>25835</Words>
  <Characters>28234</Characters>
  <Lines>306</Lines>
  <Paragraphs>86</Paragraphs>
  <TotalTime>22</TotalTime>
  <ScaleCrop>false</ScaleCrop>
  <LinksUpToDate>false</LinksUpToDate>
  <CharactersWithSpaces>29255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2024-06-06T07:50:00Z</dcterms:created>
  <dc:creator>微软用户</dc:creator>
  <cp:lastModifiedBy>u</cp:lastModifiedBy>
  <cp:lastPrinted>2025-05-27T04:00:00Z</cp:lastPrinted>
  <dcterms:modified xsi:type="dcterms:W3CDTF">2025-05-29T09:17:01Z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34C237AB6558423AA01FE0C87F79ECFF_13</vt:lpwstr>
  </property>
  <property fmtid="{D5CDD505-2E9C-101B-9397-08002B2CF9AE}" pid="4" name="commondata">
    <vt:lpwstr>eyJoZGlkIjoiZWFiNDNkZTcxNWRkNmFiZmNhNTQzYzk5NTc4YzFiY2YifQ==</vt:lpwstr>
  </property>
  <property fmtid="{D5CDD505-2E9C-101B-9397-08002B2CF9AE}" pid="5" name="KSOTemplateDocerSaveRecord">
    <vt:lpwstr>eyJoZGlkIjoiZDI2ZDgzMDIyM2RiMjQwMmEyMmI0NTlmMjJmMDg0NmMiLCJ1c2VySWQiOiI0MjQ5NzE1MzQifQ==</vt:lpwstr>
  </property>
</Properties>
</file>