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E31F7">
      <w:pPr>
        <w:rPr>
          <w:rFonts w:ascii="微软雅黑" w:hAnsi="微软雅黑" w:eastAsia="微软雅黑" w:cs="微软雅黑"/>
          <w:b/>
          <w:color w:val="auto"/>
          <w:spacing w:val="78"/>
          <w:sz w:val="72"/>
          <w:szCs w:val="72"/>
        </w:rPr>
      </w:pPr>
      <w:bookmarkStart w:id="0" w:name="_Toc27840461"/>
      <w:bookmarkStart w:id="1" w:name="_Toc11771686"/>
      <w:bookmarkStart w:id="2" w:name="_Toc11771815"/>
      <w:bookmarkStart w:id="3" w:name="_Toc12861068"/>
      <w:bookmarkStart w:id="4" w:name="_Toc27840462"/>
      <w:bookmarkStart w:id="5" w:name="_Toc12330311"/>
      <w:bookmarkStart w:id="6" w:name="_Toc13884637"/>
      <w:bookmarkStart w:id="7" w:name="_Toc12377948"/>
    </w:p>
    <w:p w14:paraId="7926F59A">
      <w:pPr>
        <w:rPr>
          <w:rFonts w:ascii="微软雅黑" w:hAnsi="微软雅黑" w:eastAsia="微软雅黑" w:cs="微软雅黑"/>
          <w:b/>
          <w:color w:val="auto"/>
          <w:spacing w:val="78"/>
          <w:sz w:val="72"/>
          <w:szCs w:val="72"/>
        </w:rPr>
      </w:pPr>
      <w:bookmarkStart w:id="140" w:name="_GoBack"/>
      <w:bookmarkEnd w:id="140"/>
      <w:r>
        <w:rPr>
          <w:color w:val="auto"/>
        </w:rPr>
        <w:drawing>
          <wp:anchor distT="0" distB="0" distL="114300" distR="114300" simplePos="0" relativeHeight="251659264" behindDoc="0" locked="0" layoutInCell="1" allowOverlap="1">
            <wp:simplePos x="0" y="0"/>
            <wp:positionH relativeFrom="column">
              <wp:posOffset>507365</wp:posOffset>
            </wp:positionH>
            <wp:positionV relativeFrom="paragraph">
              <wp:posOffset>228600</wp:posOffset>
            </wp:positionV>
            <wp:extent cx="610235" cy="648335"/>
            <wp:effectExtent l="0" t="0" r="18415" b="18415"/>
            <wp:wrapNone/>
            <wp:docPr id="4" name="图片 2" descr="群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群生"/>
                    <pic:cNvPicPr>
                      <a:picLocks noChangeAspect="1"/>
                    </pic:cNvPicPr>
                  </pic:nvPicPr>
                  <pic:blipFill>
                    <a:blip r:embed="rId13"/>
                    <a:stretch>
                      <a:fillRect/>
                    </a:stretch>
                  </pic:blipFill>
                  <pic:spPr>
                    <a:xfrm>
                      <a:off x="0" y="0"/>
                      <a:ext cx="610235" cy="648335"/>
                    </a:xfrm>
                    <a:prstGeom prst="rect">
                      <a:avLst/>
                    </a:prstGeom>
                    <a:noFill/>
                    <a:ln>
                      <a:noFill/>
                    </a:ln>
                  </pic:spPr>
                </pic:pic>
              </a:graphicData>
            </a:graphic>
          </wp:anchor>
        </w:drawing>
      </w:r>
    </w:p>
    <w:p w14:paraId="529310CD">
      <w:pPr>
        <w:rPr>
          <w:rFonts w:ascii="微软雅黑" w:hAnsi="微软雅黑" w:eastAsia="微软雅黑" w:cs="微软雅黑"/>
          <w:b/>
          <w:color w:val="auto"/>
          <w:spacing w:val="78"/>
          <w:sz w:val="72"/>
          <w:szCs w:val="72"/>
        </w:rPr>
      </w:pPr>
    </w:p>
    <w:p w14:paraId="75DF14A5">
      <w:pPr>
        <w:rPr>
          <w:rFonts w:ascii="微软雅黑" w:hAnsi="微软雅黑" w:eastAsia="微软雅黑" w:cs="微软雅黑"/>
          <w:bCs/>
          <w:color w:val="auto"/>
          <w:spacing w:val="78"/>
          <w:sz w:val="72"/>
          <w:szCs w:val="72"/>
        </w:rPr>
      </w:pPr>
      <w:r>
        <w:rPr>
          <w:rFonts w:ascii="微软雅黑" w:hAnsi="微软雅黑" w:eastAsia="微软雅黑" w:cs="微软雅黑"/>
          <w:b/>
          <w:color w:val="auto"/>
          <w:spacing w:val="78"/>
          <w:sz w:val="72"/>
          <w:szCs w:val="72"/>
        </w:rPr>
        <w:t xml:space="preserve">    </w:t>
      </w:r>
      <w:r>
        <w:rPr>
          <w:rFonts w:hint="eastAsia" w:ascii="微软雅黑" w:hAnsi="微软雅黑" w:eastAsia="微软雅黑" w:cs="微软雅黑"/>
          <w:bCs/>
          <w:color w:val="auto"/>
          <w:spacing w:val="78"/>
          <w:sz w:val="72"/>
          <w:szCs w:val="72"/>
        </w:rPr>
        <w:t>竞争性磋商文件</w:t>
      </w:r>
    </w:p>
    <w:p w14:paraId="2FC37D52">
      <w:pPr>
        <w:jc w:val="center"/>
        <w:rPr>
          <w:rFonts w:ascii="微软雅黑" w:hAnsi="微软雅黑" w:eastAsia="微软雅黑" w:cs="微软雅黑"/>
          <w:bCs/>
          <w:color w:val="auto"/>
          <w:spacing w:val="78"/>
          <w:sz w:val="56"/>
          <w:szCs w:val="72"/>
        </w:rPr>
      </w:pPr>
      <w:r>
        <w:rPr>
          <w:rFonts w:hint="eastAsia" w:ascii="微软雅黑" w:hAnsi="微软雅黑" w:eastAsia="微软雅黑" w:cs="微软雅黑"/>
          <w:bCs/>
          <w:color w:val="auto"/>
          <w:spacing w:val="78"/>
          <w:sz w:val="56"/>
          <w:szCs w:val="72"/>
        </w:rPr>
        <w:t>（</w:t>
      </w:r>
      <w:r>
        <w:rPr>
          <w:rFonts w:hint="eastAsia" w:ascii="微软雅黑" w:hAnsi="微软雅黑" w:eastAsia="微软雅黑" w:cs="微软雅黑"/>
          <w:bCs/>
          <w:color w:val="auto"/>
          <w:spacing w:val="78"/>
          <w:sz w:val="56"/>
          <w:szCs w:val="72"/>
          <w:lang w:val="en-US" w:eastAsia="zh-CN"/>
        </w:rPr>
        <w:t>工程</w:t>
      </w:r>
      <w:r>
        <w:rPr>
          <w:rFonts w:hint="eastAsia" w:ascii="微软雅黑" w:hAnsi="微软雅黑" w:eastAsia="微软雅黑" w:cs="微软雅黑"/>
          <w:bCs/>
          <w:color w:val="auto"/>
          <w:spacing w:val="78"/>
          <w:sz w:val="56"/>
          <w:szCs w:val="72"/>
        </w:rPr>
        <w:t>类）</w:t>
      </w:r>
    </w:p>
    <w:p w14:paraId="7EB625DF">
      <w:pPr>
        <w:spacing w:line="360" w:lineRule="auto"/>
        <w:ind w:firstLine="1440" w:firstLineChars="200"/>
        <w:textAlignment w:val="baseline"/>
        <w:rPr>
          <w:rFonts w:ascii="微软雅黑" w:hAnsi="微软雅黑" w:eastAsia="微软雅黑" w:cs="微软雅黑"/>
          <w:bCs/>
          <w:color w:val="auto"/>
          <w:sz w:val="72"/>
          <w:szCs w:val="72"/>
        </w:rPr>
      </w:pPr>
    </w:p>
    <w:p w14:paraId="1380C420">
      <w:pPr>
        <w:jc w:val="center"/>
        <w:rPr>
          <w:rFonts w:hint="eastAsia" w:ascii="微软雅黑" w:hAnsi="微软雅黑" w:eastAsia="微软雅黑" w:cs="微软雅黑"/>
          <w:bCs/>
          <w:color w:val="auto"/>
          <w:w w:val="150"/>
          <w:sz w:val="72"/>
          <w:szCs w:val="72"/>
          <w:lang w:eastAsia="zh-CN"/>
        </w:rPr>
      </w:pPr>
      <w:r>
        <w:rPr>
          <w:rFonts w:hint="eastAsia" w:ascii="微软雅黑" w:hAnsi="微软雅黑" w:eastAsia="微软雅黑" w:cs="微软雅黑"/>
          <w:bCs/>
          <w:color w:val="auto"/>
          <w:sz w:val="36"/>
        </w:rPr>
        <w:t>项目编号：</w:t>
      </w:r>
      <w:r>
        <w:rPr>
          <w:rFonts w:hint="eastAsia" w:ascii="微软雅黑" w:hAnsi="微软雅黑" w:eastAsia="微软雅黑" w:cs="微软雅黑"/>
          <w:bCs/>
          <w:color w:val="auto"/>
          <w:sz w:val="36"/>
          <w:lang w:eastAsia="zh-CN"/>
        </w:rPr>
        <w:t>202504027109030</w:t>
      </w:r>
    </w:p>
    <w:p w14:paraId="69887583">
      <w:pPr>
        <w:tabs>
          <w:tab w:val="left" w:pos="9030"/>
        </w:tabs>
        <w:snapToGrid w:val="0"/>
        <w:ind w:left="0" w:leftChars="0" w:right="-218" w:rightChars="0" w:firstLine="0" w:firstLineChars="0"/>
        <w:jc w:val="center"/>
        <w:rPr>
          <w:rFonts w:ascii="微软雅黑" w:hAnsi="微软雅黑" w:eastAsia="微软雅黑" w:cs="微软雅黑"/>
          <w:bCs/>
          <w:color w:val="auto"/>
          <w:sz w:val="36"/>
        </w:rPr>
      </w:pPr>
      <w:r>
        <w:rPr>
          <w:rFonts w:hint="eastAsia" w:ascii="微软雅黑" w:hAnsi="微软雅黑" w:eastAsia="微软雅黑" w:cs="微软雅黑"/>
          <w:bCs/>
          <w:color w:val="auto"/>
          <w:sz w:val="36"/>
        </w:rPr>
        <w:t>项目名称：</w:t>
      </w:r>
      <w:r>
        <w:rPr>
          <w:rFonts w:hint="eastAsia" w:ascii="微软雅黑" w:hAnsi="微软雅黑" w:eastAsia="微软雅黑" w:cs="微软雅黑"/>
          <w:bCs/>
          <w:color w:val="auto"/>
          <w:sz w:val="36"/>
          <w:lang w:eastAsia="zh-CN"/>
        </w:rPr>
        <w:t>广裕集团韶关北江实业有限责任公司收押中心（首层）改造车间项目</w:t>
      </w:r>
    </w:p>
    <w:p w14:paraId="67220660">
      <w:pPr>
        <w:pStyle w:val="43"/>
        <w:ind w:firstLine="0"/>
        <w:rPr>
          <w:rFonts w:ascii="微软雅黑" w:hAnsi="微软雅黑" w:eastAsia="微软雅黑" w:cs="微软雅黑"/>
          <w:bCs/>
          <w:color w:val="auto"/>
          <w:sz w:val="36"/>
        </w:rPr>
      </w:pPr>
    </w:p>
    <w:p w14:paraId="313BA80E">
      <w:pPr>
        <w:pStyle w:val="43"/>
        <w:rPr>
          <w:rFonts w:ascii="微软雅黑" w:hAnsi="微软雅黑" w:eastAsia="微软雅黑" w:cs="微软雅黑"/>
          <w:bCs/>
          <w:color w:val="auto"/>
          <w:sz w:val="36"/>
        </w:rPr>
      </w:pPr>
    </w:p>
    <w:p w14:paraId="5010E948">
      <w:pPr>
        <w:pStyle w:val="43"/>
        <w:rPr>
          <w:rFonts w:ascii="微软雅黑" w:hAnsi="微软雅黑" w:eastAsia="微软雅黑" w:cs="微软雅黑"/>
          <w:bCs/>
          <w:color w:val="auto"/>
          <w:sz w:val="36"/>
        </w:rPr>
      </w:pPr>
    </w:p>
    <w:p w14:paraId="64FA7BD0">
      <w:pPr>
        <w:spacing w:before="120" w:beforeLines="50"/>
        <w:jc w:val="center"/>
        <w:rPr>
          <w:rFonts w:hint="eastAsia" w:ascii="微软雅黑" w:hAnsi="微软雅黑" w:eastAsia="微软雅黑" w:cs="微软雅黑"/>
          <w:bCs/>
          <w:color w:val="auto"/>
          <w:sz w:val="36"/>
          <w:szCs w:val="36"/>
          <w:lang w:eastAsia="zh-CN"/>
        </w:rPr>
      </w:pPr>
      <w:r>
        <w:rPr>
          <w:rFonts w:hint="eastAsia" w:ascii="微软雅黑" w:hAnsi="微软雅黑" w:eastAsia="微软雅黑" w:cs="微软雅黑"/>
          <w:bCs/>
          <w:color w:val="auto"/>
          <w:sz w:val="36"/>
          <w:lang w:eastAsia="zh-CN"/>
        </w:rPr>
        <w:t>广东省广裕集团韶关北江实业有限责任公司</w:t>
      </w:r>
    </w:p>
    <w:p w14:paraId="0A73B0FF">
      <w:pPr>
        <w:jc w:val="center"/>
        <w:rPr>
          <w:rFonts w:hint="eastAsia" w:ascii="微软雅黑" w:hAnsi="微软雅黑" w:eastAsia="微软雅黑" w:cs="微软雅黑"/>
          <w:bCs/>
          <w:color w:val="auto"/>
          <w:sz w:val="36"/>
          <w:lang w:eastAsia="zh-CN"/>
        </w:rPr>
      </w:pPr>
      <w:r>
        <w:rPr>
          <w:rFonts w:hint="eastAsia" w:ascii="微软雅黑" w:hAnsi="微软雅黑" w:eastAsia="微软雅黑" w:cs="微软雅黑"/>
          <w:bCs/>
          <w:color w:val="auto"/>
          <w:sz w:val="36"/>
          <w:lang w:eastAsia="zh-CN"/>
        </w:rPr>
        <w:t>广州群生招标代理有限公司韶关分公司</w:t>
      </w:r>
    </w:p>
    <w:p w14:paraId="165DA3E8">
      <w:pPr>
        <w:jc w:val="center"/>
        <w:rPr>
          <w:rFonts w:ascii="微软雅黑" w:hAnsi="微软雅黑" w:eastAsia="微软雅黑" w:cs="微软雅黑"/>
          <w:bCs/>
          <w:color w:val="auto"/>
          <w:sz w:val="36"/>
        </w:rPr>
        <w:sectPr>
          <w:headerReference r:id="rId4" w:type="first"/>
          <w:headerReference r:id="rId3" w:type="default"/>
          <w:footerReference r:id="rId5" w:type="default"/>
          <w:pgSz w:w="11907" w:h="16840"/>
          <w:pgMar w:top="1418" w:right="1304" w:bottom="1361" w:left="1361" w:header="794" w:footer="794" w:gutter="0"/>
          <w:pgNumType w:start="1"/>
          <w:cols w:space="720" w:num="1"/>
          <w:titlePg/>
          <w:docGrid w:linePitch="285" w:charSpace="0"/>
        </w:sectPr>
      </w:pPr>
      <w:r>
        <w:rPr>
          <w:rFonts w:hint="eastAsia" w:ascii="微软雅黑" w:hAnsi="微软雅黑" w:eastAsia="微软雅黑" w:cs="微软雅黑"/>
          <w:bCs/>
          <w:color w:val="auto"/>
          <w:sz w:val="36"/>
        </w:rPr>
        <w:t>二〇二</w:t>
      </w:r>
      <w:r>
        <w:rPr>
          <w:rFonts w:hint="eastAsia" w:ascii="微软雅黑" w:hAnsi="微软雅黑" w:eastAsia="微软雅黑" w:cs="微软雅黑"/>
          <w:bCs/>
          <w:color w:val="auto"/>
          <w:sz w:val="36"/>
          <w:lang w:eastAsia="zh-CN"/>
        </w:rPr>
        <w:t>五</w:t>
      </w:r>
      <w:r>
        <w:rPr>
          <w:rFonts w:hint="eastAsia" w:ascii="微软雅黑" w:hAnsi="微软雅黑" w:eastAsia="微软雅黑" w:cs="微软雅黑"/>
          <w:bCs/>
          <w:color w:val="auto"/>
          <w:sz w:val="36"/>
        </w:rPr>
        <w:t>年</w:t>
      </w:r>
      <w:r>
        <w:rPr>
          <w:rFonts w:hint="eastAsia" w:ascii="微软雅黑" w:hAnsi="微软雅黑" w:eastAsia="微软雅黑" w:cs="微软雅黑"/>
          <w:bCs/>
          <w:color w:val="auto"/>
          <w:sz w:val="36"/>
          <w:lang w:val="en-US" w:eastAsia="zh-CN"/>
        </w:rPr>
        <w:t>四</w:t>
      </w:r>
      <w:r>
        <w:rPr>
          <w:rFonts w:hint="eastAsia" w:ascii="微软雅黑" w:hAnsi="微软雅黑" w:eastAsia="微软雅黑" w:cs="微软雅黑"/>
          <w:bCs/>
          <w:color w:val="auto"/>
          <w:sz w:val="36"/>
        </w:rPr>
        <w:t>月</w:t>
      </w:r>
    </w:p>
    <w:p w14:paraId="285B130D">
      <w:pPr>
        <w:snapToGrid w:val="0"/>
        <w:spacing w:line="360" w:lineRule="auto"/>
        <w:jc w:val="center"/>
        <w:rPr>
          <w:rFonts w:ascii="宋体" w:hAnsi="宋体"/>
          <w:b/>
          <w:color w:val="auto"/>
          <w:sz w:val="36"/>
          <w:szCs w:val="36"/>
        </w:rPr>
      </w:pPr>
    </w:p>
    <w:p w14:paraId="3FE0B9DE">
      <w:pPr>
        <w:snapToGrid w:val="0"/>
        <w:spacing w:line="360" w:lineRule="auto"/>
        <w:jc w:val="center"/>
        <w:rPr>
          <w:rFonts w:ascii="宋体" w:hAnsi="宋体"/>
          <w:b/>
          <w:color w:val="auto"/>
          <w:sz w:val="36"/>
          <w:szCs w:val="36"/>
        </w:rPr>
      </w:pPr>
    </w:p>
    <w:p w14:paraId="6A1DF44B">
      <w:pPr>
        <w:snapToGrid w:val="0"/>
        <w:spacing w:line="360" w:lineRule="auto"/>
        <w:jc w:val="center"/>
        <w:rPr>
          <w:rFonts w:ascii="宋体" w:hAnsi="宋体"/>
          <w:b/>
          <w:color w:val="auto"/>
          <w:sz w:val="44"/>
          <w:szCs w:val="44"/>
        </w:rPr>
      </w:pPr>
      <w:r>
        <w:rPr>
          <w:rFonts w:hint="eastAsia" w:ascii="宋体" w:hAnsi="宋体"/>
          <w:b/>
          <w:color w:val="auto"/>
          <w:sz w:val="44"/>
          <w:szCs w:val="44"/>
        </w:rPr>
        <w:t>目  录</w:t>
      </w:r>
    </w:p>
    <w:p w14:paraId="280F2B3A">
      <w:pPr>
        <w:pStyle w:val="25"/>
        <w:tabs>
          <w:tab w:val="left" w:pos="1050"/>
          <w:tab w:val="right" w:leader="dot" w:pos="8080"/>
          <w:tab w:val="clear" w:pos="9344"/>
        </w:tabs>
        <w:jc w:val="both"/>
        <w:rPr>
          <w:rFonts w:asciiTheme="minorHAnsi" w:hAnsiTheme="minorHAnsi" w:eastAsiaTheme="minorEastAsia" w:cstheme="minorBidi"/>
          <w:b w:val="0"/>
          <w:bCs w:val="0"/>
          <w:caps w:val="0"/>
          <w:color w:val="auto"/>
          <w:sz w:val="28"/>
          <w:szCs w:val="28"/>
        </w:rPr>
      </w:pPr>
      <w:r>
        <w:rPr>
          <w:color w:val="auto"/>
          <w:sz w:val="28"/>
          <w:szCs w:val="28"/>
        </w:rPr>
        <w:fldChar w:fldCharType="begin"/>
      </w:r>
      <w:r>
        <w:rPr>
          <w:rStyle w:val="41"/>
          <w:color w:val="auto"/>
          <w:sz w:val="28"/>
          <w:szCs w:val="28"/>
        </w:rPr>
        <w:instrText xml:space="preserve"> TOC \o "1-2" \h \z </w:instrText>
      </w:r>
      <w:r>
        <w:rPr>
          <w:color w:val="auto"/>
          <w:sz w:val="28"/>
          <w:szCs w:val="28"/>
        </w:rPr>
        <w:fldChar w:fldCharType="separate"/>
      </w:r>
      <w:r>
        <w:rPr>
          <w:color w:val="auto"/>
        </w:rPr>
        <w:fldChar w:fldCharType="begin"/>
      </w:r>
      <w:r>
        <w:rPr>
          <w:color w:val="auto"/>
        </w:rPr>
        <w:instrText xml:space="preserve"> HYPERLINK \l "_Toc461991231" </w:instrText>
      </w:r>
      <w:r>
        <w:rPr>
          <w:color w:val="auto"/>
        </w:rPr>
        <w:fldChar w:fldCharType="separate"/>
      </w:r>
      <w:r>
        <w:rPr>
          <w:rStyle w:val="41"/>
          <w:rFonts w:hint="eastAsia"/>
          <w:color w:val="auto"/>
          <w:sz w:val="28"/>
          <w:szCs w:val="28"/>
        </w:rPr>
        <w:t>第一章 磋商邀请函</w:t>
      </w:r>
      <w:r>
        <w:rPr>
          <w:color w:val="auto"/>
          <w:sz w:val="28"/>
          <w:szCs w:val="28"/>
        </w:rPr>
        <w:tab/>
      </w:r>
      <w:r>
        <w:rPr>
          <w:rFonts w:hint="eastAsia"/>
          <w:color w:val="auto"/>
          <w:sz w:val="28"/>
          <w:szCs w:val="28"/>
        </w:rPr>
        <w:t>2</w:t>
      </w:r>
      <w:r>
        <w:rPr>
          <w:rFonts w:hint="eastAsia"/>
          <w:color w:val="auto"/>
          <w:sz w:val="28"/>
          <w:szCs w:val="28"/>
        </w:rPr>
        <w:fldChar w:fldCharType="end"/>
      </w:r>
    </w:p>
    <w:p w14:paraId="2D37BA15">
      <w:pPr>
        <w:pStyle w:val="25"/>
        <w:tabs>
          <w:tab w:val="right" w:leader="dot" w:pos="8080"/>
          <w:tab w:val="clear" w:pos="9344"/>
        </w:tabs>
        <w:jc w:val="both"/>
        <w:rPr>
          <w:rFonts w:asciiTheme="minorHAnsi" w:hAnsiTheme="minorHAnsi" w:eastAsiaTheme="minorEastAsia" w:cstheme="minorBidi"/>
          <w:b w:val="0"/>
          <w:bCs w:val="0"/>
          <w:caps w:val="0"/>
          <w:color w:val="auto"/>
          <w:sz w:val="28"/>
          <w:szCs w:val="28"/>
        </w:rPr>
      </w:pPr>
      <w:r>
        <w:rPr>
          <w:color w:val="auto"/>
        </w:rPr>
        <w:fldChar w:fldCharType="begin"/>
      </w:r>
      <w:r>
        <w:rPr>
          <w:color w:val="auto"/>
        </w:rPr>
        <w:instrText xml:space="preserve"> HYPERLINK \l "_Toc461991232" </w:instrText>
      </w:r>
      <w:r>
        <w:rPr>
          <w:color w:val="auto"/>
        </w:rPr>
        <w:fldChar w:fldCharType="separate"/>
      </w:r>
      <w:r>
        <w:rPr>
          <w:rStyle w:val="41"/>
          <w:rFonts w:hint="eastAsia"/>
          <w:color w:val="auto"/>
          <w:sz w:val="28"/>
          <w:szCs w:val="28"/>
        </w:rPr>
        <w:t>第二章</w:t>
      </w:r>
      <w:r>
        <w:rPr>
          <w:rStyle w:val="41"/>
          <w:color w:val="auto"/>
          <w:sz w:val="28"/>
          <w:szCs w:val="28"/>
        </w:rPr>
        <w:t xml:space="preserve"> </w:t>
      </w:r>
      <w:r>
        <w:rPr>
          <w:rStyle w:val="41"/>
          <w:rFonts w:hint="eastAsia"/>
          <w:color w:val="auto"/>
          <w:sz w:val="28"/>
          <w:szCs w:val="28"/>
        </w:rPr>
        <w:t>响应供应商须知</w:t>
      </w:r>
      <w:r>
        <w:rPr>
          <w:color w:val="auto"/>
          <w:sz w:val="28"/>
          <w:szCs w:val="28"/>
        </w:rPr>
        <w:tab/>
      </w:r>
      <w:r>
        <w:rPr>
          <w:rFonts w:hint="eastAsia"/>
          <w:color w:val="auto"/>
          <w:sz w:val="28"/>
          <w:szCs w:val="28"/>
        </w:rPr>
        <w:t>5</w:t>
      </w:r>
      <w:r>
        <w:rPr>
          <w:rFonts w:hint="eastAsia"/>
          <w:color w:val="auto"/>
          <w:sz w:val="28"/>
          <w:szCs w:val="28"/>
        </w:rPr>
        <w:fldChar w:fldCharType="end"/>
      </w:r>
    </w:p>
    <w:p w14:paraId="760750C3">
      <w:pPr>
        <w:pStyle w:val="25"/>
        <w:tabs>
          <w:tab w:val="right" w:leader="dot" w:pos="8222"/>
          <w:tab w:val="clear" w:pos="9344"/>
        </w:tabs>
        <w:jc w:val="both"/>
        <w:rPr>
          <w:rFonts w:asciiTheme="minorHAnsi" w:hAnsiTheme="minorHAnsi" w:eastAsiaTheme="minorEastAsia" w:cstheme="minorBidi"/>
          <w:b w:val="0"/>
          <w:bCs w:val="0"/>
          <w:caps w:val="0"/>
          <w:color w:val="auto"/>
          <w:sz w:val="28"/>
          <w:szCs w:val="28"/>
        </w:rPr>
      </w:pPr>
      <w:r>
        <w:rPr>
          <w:color w:val="auto"/>
        </w:rPr>
        <w:fldChar w:fldCharType="begin"/>
      </w:r>
      <w:r>
        <w:rPr>
          <w:color w:val="auto"/>
        </w:rPr>
        <w:instrText xml:space="preserve"> HYPERLINK \l "_Toc461991233" </w:instrText>
      </w:r>
      <w:r>
        <w:rPr>
          <w:color w:val="auto"/>
        </w:rPr>
        <w:fldChar w:fldCharType="separate"/>
      </w:r>
      <w:r>
        <w:rPr>
          <w:rStyle w:val="41"/>
          <w:rFonts w:hint="eastAsia"/>
          <w:color w:val="auto"/>
          <w:sz w:val="28"/>
          <w:szCs w:val="28"/>
        </w:rPr>
        <w:t>第三章</w:t>
      </w:r>
      <w:r>
        <w:rPr>
          <w:rStyle w:val="41"/>
          <w:color w:val="auto"/>
          <w:sz w:val="28"/>
          <w:szCs w:val="28"/>
        </w:rPr>
        <w:t xml:space="preserve"> </w:t>
      </w:r>
      <w:r>
        <w:rPr>
          <w:rStyle w:val="41"/>
          <w:rFonts w:hint="eastAsia"/>
          <w:color w:val="auto"/>
          <w:sz w:val="28"/>
          <w:szCs w:val="28"/>
        </w:rPr>
        <w:t>采购人需求</w:t>
      </w:r>
      <w:r>
        <w:rPr>
          <w:color w:val="auto"/>
          <w:sz w:val="28"/>
          <w:szCs w:val="28"/>
        </w:rPr>
        <w:tab/>
      </w:r>
      <w:r>
        <w:rPr>
          <w:rFonts w:hint="eastAsia"/>
          <w:color w:val="auto"/>
          <w:sz w:val="28"/>
          <w:szCs w:val="28"/>
        </w:rPr>
        <w:t>1</w:t>
      </w:r>
      <w:r>
        <w:rPr>
          <w:rFonts w:hint="eastAsia"/>
          <w:color w:val="auto"/>
          <w:sz w:val="28"/>
          <w:szCs w:val="28"/>
          <w:lang w:val="en-US" w:eastAsia="zh-CN"/>
        </w:rPr>
        <w:t>1</w:t>
      </w:r>
      <w:r>
        <w:rPr>
          <w:rFonts w:hint="eastAsia"/>
          <w:color w:val="auto"/>
          <w:sz w:val="28"/>
          <w:szCs w:val="28"/>
        </w:rPr>
        <w:fldChar w:fldCharType="end"/>
      </w:r>
    </w:p>
    <w:p w14:paraId="56DB095A">
      <w:pPr>
        <w:pStyle w:val="25"/>
        <w:tabs>
          <w:tab w:val="right" w:leader="dot" w:pos="8222"/>
          <w:tab w:val="clear" w:pos="9344"/>
        </w:tabs>
        <w:jc w:val="both"/>
        <w:rPr>
          <w:rFonts w:hint="eastAsia" w:eastAsia="宋体" w:asciiTheme="minorHAnsi" w:hAnsiTheme="minorHAnsi" w:cstheme="minorBidi"/>
          <w:b w:val="0"/>
          <w:bCs w:val="0"/>
          <w:caps w:val="0"/>
          <w:color w:val="auto"/>
          <w:sz w:val="28"/>
          <w:szCs w:val="28"/>
          <w:lang w:eastAsia="zh-CN"/>
        </w:rPr>
      </w:pPr>
      <w:r>
        <w:rPr>
          <w:color w:val="auto"/>
        </w:rPr>
        <w:fldChar w:fldCharType="begin"/>
      </w:r>
      <w:r>
        <w:rPr>
          <w:color w:val="auto"/>
        </w:rPr>
        <w:instrText xml:space="preserve"> HYPERLINK \l "_Toc461991234" </w:instrText>
      </w:r>
      <w:r>
        <w:rPr>
          <w:color w:val="auto"/>
        </w:rPr>
        <w:fldChar w:fldCharType="separate"/>
      </w:r>
      <w:r>
        <w:rPr>
          <w:rStyle w:val="41"/>
          <w:rFonts w:hint="eastAsia"/>
          <w:color w:val="auto"/>
          <w:sz w:val="28"/>
          <w:szCs w:val="28"/>
        </w:rPr>
        <w:t>第四章</w:t>
      </w:r>
      <w:r>
        <w:rPr>
          <w:rStyle w:val="41"/>
          <w:color w:val="auto"/>
          <w:sz w:val="28"/>
          <w:szCs w:val="28"/>
        </w:rPr>
        <w:t xml:space="preserve"> </w:t>
      </w:r>
      <w:r>
        <w:rPr>
          <w:rStyle w:val="41"/>
          <w:rFonts w:hint="eastAsia"/>
          <w:color w:val="auto"/>
          <w:sz w:val="28"/>
          <w:szCs w:val="28"/>
        </w:rPr>
        <w:t>合同文本</w:t>
      </w:r>
      <w:r>
        <w:rPr>
          <w:color w:val="auto"/>
          <w:sz w:val="28"/>
          <w:szCs w:val="28"/>
        </w:rPr>
        <w:tab/>
      </w:r>
      <w:r>
        <w:rPr>
          <w:color w:val="auto"/>
          <w:sz w:val="28"/>
          <w:szCs w:val="28"/>
        </w:rPr>
        <w:fldChar w:fldCharType="end"/>
      </w:r>
      <w:r>
        <w:rPr>
          <w:rFonts w:hint="eastAsia"/>
          <w:color w:val="auto"/>
          <w:sz w:val="28"/>
          <w:szCs w:val="28"/>
        </w:rPr>
        <w:t>1</w:t>
      </w:r>
      <w:r>
        <w:rPr>
          <w:rFonts w:hint="eastAsia"/>
          <w:color w:val="auto"/>
          <w:sz w:val="28"/>
          <w:szCs w:val="28"/>
          <w:lang w:val="en-US" w:eastAsia="zh-CN"/>
        </w:rPr>
        <w:t>5</w:t>
      </w:r>
    </w:p>
    <w:p w14:paraId="42CB72EA">
      <w:pPr>
        <w:pStyle w:val="25"/>
        <w:tabs>
          <w:tab w:val="right" w:leader="dot" w:pos="8222"/>
          <w:tab w:val="clear" w:pos="9344"/>
        </w:tabs>
        <w:jc w:val="both"/>
        <w:rPr>
          <w:rFonts w:hint="eastAsia" w:eastAsia="宋体" w:asciiTheme="minorHAnsi" w:hAnsiTheme="minorHAnsi" w:cstheme="minorBidi"/>
          <w:b w:val="0"/>
          <w:bCs w:val="0"/>
          <w:caps w:val="0"/>
          <w:color w:val="auto"/>
          <w:sz w:val="28"/>
          <w:szCs w:val="28"/>
          <w:lang w:eastAsia="zh-CN"/>
        </w:rPr>
      </w:pPr>
      <w:r>
        <w:rPr>
          <w:color w:val="auto"/>
        </w:rPr>
        <w:fldChar w:fldCharType="begin"/>
      </w:r>
      <w:r>
        <w:rPr>
          <w:color w:val="auto"/>
        </w:rPr>
        <w:instrText xml:space="preserve"> HYPERLINK \l "_Toc461991235" </w:instrText>
      </w:r>
      <w:r>
        <w:rPr>
          <w:color w:val="auto"/>
        </w:rPr>
        <w:fldChar w:fldCharType="separate"/>
      </w:r>
      <w:r>
        <w:rPr>
          <w:rStyle w:val="41"/>
          <w:rFonts w:hint="eastAsia"/>
          <w:color w:val="auto"/>
          <w:sz w:val="28"/>
          <w:szCs w:val="28"/>
        </w:rPr>
        <w:t>第五章</w:t>
      </w:r>
      <w:r>
        <w:rPr>
          <w:rStyle w:val="41"/>
          <w:color w:val="auto"/>
          <w:sz w:val="28"/>
          <w:szCs w:val="28"/>
        </w:rPr>
        <w:t xml:space="preserve"> </w:t>
      </w:r>
      <w:r>
        <w:rPr>
          <w:rStyle w:val="41"/>
          <w:rFonts w:hint="eastAsia"/>
          <w:color w:val="auto"/>
          <w:sz w:val="28"/>
          <w:szCs w:val="28"/>
        </w:rPr>
        <w:t>磋商细则</w:t>
      </w:r>
      <w:r>
        <w:rPr>
          <w:color w:val="auto"/>
          <w:sz w:val="28"/>
          <w:szCs w:val="28"/>
        </w:rPr>
        <w:tab/>
      </w:r>
      <w:r>
        <w:rPr>
          <w:rFonts w:hint="eastAsia"/>
          <w:color w:val="auto"/>
          <w:sz w:val="28"/>
          <w:szCs w:val="28"/>
        </w:rPr>
        <w:t>2</w:t>
      </w:r>
      <w:r>
        <w:rPr>
          <w:rFonts w:hint="eastAsia"/>
          <w:color w:val="auto"/>
          <w:sz w:val="28"/>
          <w:szCs w:val="28"/>
        </w:rPr>
        <w:fldChar w:fldCharType="end"/>
      </w:r>
      <w:r>
        <w:rPr>
          <w:rFonts w:hint="eastAsia"/>
          <w:color w:val="auto"/>
          <w:sz w:val="28"/>
          <w:szCs w:val="28"/>
          <w:lang w:val="en-US" w:eastAsia="zh-CN"/>
        </w:rPr>
        <w:t>1</w:t>
      </w:r>
    </w:p>
    <w:p w14:paraId="2931D065">
      <w:pPr>
        <w:pStyle w:val="25"/>
        <w:tabs>
          <w:tab w:val="right" w:leader="dot" w:pos="8222"/>
          <w:tab w:val="clear" w:pos="9344"/>
        </w:tabs>
        <w:jc w:val="both"/>
        <w:rPr>
          <w:rFonts w:hint="eastAsia" w:eastAsia="宋体" w:asciiTheme="minorHAnsi" w:hAnsiTheme="minorHAnsi" w:cstheme="minorBidi"/>
          <w:b w:val="0"/>
          <w:bCs w:val="0"/>
          <w:caps w:val="0"/>
          <w:color w:val="auto"/>
          <w:sz w:val="28"/>
          <w:szCs w:val="28"/>
          <w:lang w:eastAsia="zh-CN"/>
        </w:rPr>
      </w:pPr>
      <w:r>
        <w:rPr>
          <w:color w:val="auto"/>
        </w:rPr>
        <w:fldChar w:fldCharType="begin"/>
      </w:r>
      <w:r>
        <w:rPr>
          <w:color w:val="auto"/>
        </w:rPr>
        <w:instrText xml:space="preserve"> HYPERLINK \l "_Toc461991253" </w:instrText>
      </w:r>
      <w:r>
        <w:rPr>
          <w:color w:val="auto"/>
        </w:rPr>
        <w:fldChar w:fldCharType="separate"/>
      </w:r>
      <w:r>
        <w:rPr>
          <w:rStyle w:val="41"/>
          <w:rFonts w:hint="eastAsia"/>
          <w:color w:val="auto"/>
          <w:sz w:val="28"/>
          <w:szCs w:val="28"/>
        </w:rPr>
        <w:t>第六章</w:t>
      </w:r>
      <w:r>
        <w:rPr>
          <w:rStyle w:val="41"/>
          <w:color w:val="auto"/>
          <w:sz w:val="28"/>
          <w:szCs w:val="28"/>
        </w:rPr>
        <w:t xml:space="preserve"> </w:t>
      </w:r>
      <w:r>
        <w:rPr>
          <w:rStyle w:val="41"/>
          <w:rFonts w:hint="eastAsia"/>
          <w:color w:val="auto"/>
          <w:sz w:val="28"/>
          <w:szCs w:val="28"/>
        </w:rPr>
        <w:t>响应文件格式</w:t>
      </w:r>
      <w:r>
        <w:rPr>
          <w:color w:val="auto"/>
          <w:sz w:val="28"/>
          <w:szCs w:val="28"/>
        </w:rPr>
        <w:tab/>
      </w:r>
      <w:r>
        <w:rPr>
          <w:rFonts w:hint="eastAsia"/>
          <w:color w:val="auto"/>
          <w:sz w:val="28"/>
          <w:szCs w:val="28"/>
          <w:lang w:val="en-US" w:eastAsia="zh-CN"/>
        </w:rPr>
        <w:t>2</w:t>
      </w:r>
      <w:r>
        <w:rPr>
          <w:rFonts w:hint="eastAsia"/>
          <w:color w:val="auto"/>
          <w:sz w:val="28"/>
          <w:szCs w:val="28"/>
        </w:rPr>
        <w:fldChar w:fldCharType="end"/>
      </w:r>
      <w:r>
        <w:rPr>
          <w:rFonts w:hint="eastAsia"/>
          <w:color w:val="auto"/>
          <w:sz w:val="28"/>
          <w:szCs w:val="28"/>
          <w:lang w:val="en-US" w:eastAsia="zh-CN"/>
        </w:rPr>
        <w:t>9</w:t>
      </w:r>
    </w:p>
    <w:p w14:paraId="2719EFA2">
      <w:pPr>
        <w:pStyle w:val="29"/>
        <w:tabs>
          <w:tab w:val="right" w:leader="dot" w:pos="9231"/>
        </w:tabs>
        <w:rPr>
          <w:rFonts w:asciiTheme="minorHAnsi" w:hAnsiTheme="minorHAnsi" w:eastAsiaTheme="minorEastAsia" w:cstheme="minorBidi"/>
          <w:smallCaps w:val="0"/>
          <w:color w:val="auto"/>
          <w:szCs w:val="22"/>
        </w:rPr>
      </w:pPr>
    </w:p>
    <w:p w14:paraId="00CC48D5">
      <w:pPr>
        <w:pStyle w:val="25"/>
        <w:tabs>
          <w:tab w:val="right" w:leader="dot" w:pos="9240"/>
          <w:tab w:val="clear" w:pos="9344"/>
        </w:tabs>
        <w:spacing w:before="0" w:after="0" w:line="480" w:lineRule="auto"/>
        <w:rPr>
          <w:color w:val="auto"/>
        </w:rPr>
      </w:pPr>
      <w:r>
        <w:rPr>
          <w:color w:val="auto"/>
          <w:sz w:val="28"/>
          <w:szCs w:val="28"/>
        </w:rPr>
        <w:fldChar w:fldCharType="end"/>
      </w:r>
      <w:bookmarkStart w:id="8" w:name="_Toc43548069"/>
    </w:p>
    <w:p w14:paraId="191645F9">
      <w:pPr>
        <w:rPr>
          <w:rFonts w:ascii="宋体" w:hAnsi="宋体"/>
          <w:color w:val="auto"/>
        </w:rPr>
      </w:pPr>
    </w:p>
    <w:p w14:paraId="04C6914A">
      <w:pPr>
        <w:rPr>
          <w:rFonts w:ascii="宋体" w:hAnsi="宋体"/>
          <w:color w:val="auto"/>
        </w:rPr>
      </w:pPr>
    </w:p>
    <w:p w14:paraId="4762998A">
      <w:pPr>
        <w:rPr>
          <w:rFonts w:ascii="宋体" w:hAnsi="宋体"/>
          <w:color w:val="auto"/>
        </w:rPr>
      </w:pPr>
    </w:p>
    <w:p w14:paraId="5DC7BB51">
      <w:pPr>
        <w:rPr>
          <w:rFonts w:ascii="宋体" w:hAnsi="宋体"/>
          <w:color w:val="auto"/>
        </w:rPr>
      </w:pPr>
    </w:p>
    <w:p w14:paraId="37A3D1EB">
      <w:pPr>
        <w:rPr>
          <w:rFonts w:ascii="宋体" w:hAnsi="宋体"/>
          <w:color w:val="auto"/>
        </w:rPr>
      </w:pPr>
    </w:p>
    <w:p w14:paraId="5007E6B5">
      <w:pPr>
        <w:rPr>
          <w:rFonts w:ascii="宋体" w:hAnsi="宋体"/>
          <w:color w:val="auto"/>
        </w:rPr>
      </w:pPr>
    </w:p>
    <w:p w14:paraId="1D407794">
      <w:pPr>
        <w:rPr>
          <w:rFonts w:ascii="宋体" w:hAnsi="宋体"/>
          <w:color w:val="auto"/>
        </w:rPr>
      </w:pPr>
    </w:p>
    <w:p w14:paraId="31567A85">
      <w:pPr>
        <w:rPr>
          <w:rFonts w:ascii="宋体" w:hAnsi="宋体"/>
          <w:color w:val="auto"/>
        </w:rPr>
      </w:pPr>
    </w:p>
    <w:p w14:paraId="5ADC0971">
      <w:pPr>
        <w:rPr>
          <w:rFonts w:ascii="宋体" w:hAnsi="宋体"/>
          <w:color w:val="auto"/>
        </w:rPr>
      </w:pPr>
    </w:p>
    <w:p w14:paraId="28D979D5">
      <w:pPr>
        <w:rPr>
          <w:rFonts w:ascii="宋体" w:hAnsi="宋体"/>
          <w:color w:val="auto"/>
        </w:rPr>
      </w:pPr>
    </w:p>
    <w:p w14:paraId="4ADFBD95">
      <w:pPr>
        <w:rPr>
          <w:rFonts w:ascii="宋体" w:hAnsi="宋体"/>
          <w:color w:val="auto"/>
        </w:rPr>
      </w:pPr>
    </w:p>
    <w:p w14:paraId="38E74C6E">
      <w:pPr>
        <w:rPr>
          <w:rFonts w:ascii="宋体" w:hAnsi="宋体"/>
          <w:color w:val="auto"/>
        </w:rPr>
      </w:pPr>
    </w:p>
    <w:p w14:paraId="349B7DD6">
      <w:pPr>
        <w:rPr>
          <w:rFonts w:ascii="宋体" w:hAnsi="宋体"/>
          <w:color w:val="auto"/>
        </w:rPr>
      </w:pPr>
    </w:p>
    <w:p w14:paraId="747B9BC0">
      <w:pPr>
        <w:rPr>
          <w:rFonts w:ascii="宋体" w:hAnsi="宋体"/>
          <w:color w:val="auto"/>
        </w:rPr>
      </w:pPr>
    </w:p>
    <w:p w14:paraId="62AEB185">
      <w:pPr>
        <w:rPr>
          <w:rFonts w:ascii="宋体" w:hAnsi="宋体"/>
          <w:color w:val="auto"/>
        </w:rPr>
      </w:pPr>
    </w:p>
    <w:p w14:paraId="6C2EBCB4">
      <w:pPr>
        <w:rPr>
          <w:rFonts w:ascii="宋体" w:hAnsi="宋体"/>
          <w:color w:val="auto"/>
        </w:rPr>
      </w:pPr>
    </w:p>
    <w:p w14:paraId="44D745B5">
      <w:pPr>
        <w:pStyle w:val="2"/>
        <w:numPr>
          <w:ilvl w:val="0"/>
          <w:numId w:val="1"/>
        </w:numPr>
        <w:spacing w:line="360" w:lineRule="auto"/>
        <w:jc w:val="center"/>
        <w:rPr>
          <w:rFonts w:ascii="宋体" w:hAnsi="宋体"/>
          <w:color w:val="auto"/>
          <w:sz w:val="32"/>
          <w:szCs w:val="32"/>
        </w:rPr>
        <w:sectPr>
          <w:headerReference r:id="rId7" w:type="first"/>
          <w:footerReference r:id="rId9" w:type="first"/>
          <w:headerReference r:id="rId6" w:type="default"/>
          <w:footerReference r:id="rId8" w:type="default"/>
          <w:pgSz w:w="11906" w:h="16838"/>
          <w:pgMar w:top="1191" w:right="1361" w:bottom="1191" w:left="1191" w:header="794" w:footer="794" w:gutter="0"/>
          <w:pgNumType w:start="1"/>
          <w:cols w:space="720" w:num="1"/>
          <w:titlePg/>
          <w:docGrid w:linePitch="285" w:charSpace="0"/>
        </w:sectPr>
      </w:pPr>
      <w:bookmarkStart w:id="9" w:name="_Toc10525513"/>
      <w:bookmarkStart w:id="10" w:name="_Toc461991231"/>
    </w:p>
    <w:p w14:paraId="6ACC7FF8">
      <w:pPr>
        <w:rPr>
          <w:rFonts w:ascii="宋体" w:hAnsi="宋体"/>
          <w:color w:val="auto"/>
          <w:sz w:val="32"/>
          <w:szCs w:val="32"/>
        </w:rPr>
      </w:pPr>
      <w:r>
        <w:rPr>
          <w:rFonts w:hint="eastAsia" w:ascii="宋体" w:hAnsi="宋体"/>
          <w:color w:val="auto"/>
          <w:sz w:val="32"/>
          <w:szCs w:val="32"/>
        </w:rPr>
        <w:br w:type="page"/>
      </w:r>
    </w:p>
    <w:p w14:paraId="740E0BC7">
      <w:pPr>
        <w:pStyle w:val="2"/>
        <w:numPr>
          <w:ilvl w:val="0"/>
          <w:numId w:val="1"/>
        </w:numPr>
        <w:spacing w:line="360" w:lineRule="auto"/>
        <w:jc w:val="center"/>
        <w:rPr>
          <w:rFonts w:ascii="宋体" w:hAnsi="宋体"/>
          <w:color w:val="auto"/>
          <w:sz w:val="32"/>
          <w:szCs w:val="32"/>
        </w:rPr>
      </w:pPr>
      <w:r>
        <w:rPr>
          <w:rFonts w:hint="eastAsia" w:ascii="宋体" w:hAnsi="宋体"/>
          <w:color w:val="auto"/>
          <w:sz w:val="32"/>
          <w:szCs w:val="32"/>
        </w:rPr>
        <w:t>磋商邀请</w:t>
      </w:r>
      <w:bookmarkEnd w:id="8"/>
      <w:bookmarkEnd w:id="9"/>
      <w:r>
        <w:rPr>
          <w:rFonts w:hint="eastAsia" w:ascii="宋体" w:hAnsi="宋体"/>
          <w:color w:val="auto"/>
          <w:sz w:val="32"/>
          <w:szCs w:val="32"/>
        </w:rPr>
        <w:t>函</w:t>
      </w:r>
      <w:bookmarkEnd w:id="10"/>
    </w:p>
    <w:bookmarkEnd w:id="0"/>
    <w:bookmarkEnd w:id="1"/>
    <w:bookmarkEnd w:id="2"/>
    <w:bookmarkEnd w:id="3"/>
    <w:bookmarkEnd w:id="4"/>
    <w:bookmarkEnd w:id="5"/>
    <w:bookmarkEnd w:id="6"/>
    <w:bookmarkEnd w:id="7"/>
    <w:p w14:paraId="5771E7BC">
      <w:pPr>
        <w:snapToGrid w:val="0"/>
        <w:spacing w:line="360" w:lineRule="auto"/>
        <w:ind w:firstLine="415" w:firstLineChars="197"/>
        <w:rPr>
          <w:rFonts w:ascii="宋体" w:hAnsi="宋体"/>
          <w:color w:val="auto"/>
          <w:szCs w:val="21"/>
        </w:rPr>
      </w:pPr>
      <w:bookmarkStart w:id="11" w:name="_Toc461991232"/>
      <w:bookmarkStart w:id="12" w:name="_Toc43548070"/>
      <w:r>
        <w:rPr>
          <w:rFonts w:hint="eastAsia" w:ascii="宋体" w:hAnsi="宋体"/>
          <w:b/>
          <w:color w:val="auto"/>
          <w:szCs w:val="21"/>
          <w:lang w:eastAsia="zh-CN"/>
        </w:rPr>
        <w:t>广州群生招标代理有限公司韶关分公司</w:t>
      </w:r>
      <w:r>
        <w:rPr>
          <w:rFonts w:ascii="宋体" w:hAnsi="宋体"/>
          <w:color w:val="auto"/>
          <w:szCs w:val="21"/>
        </w:rPr>
        <w:t>（以下简称“采购代理机构”）受</w:t>
      </w:r>
      <w:r>
        <w:rPr>
          <w:rFonts w:hint="eastAsia" w:ascii="宋体" w:hAnsi="宋体"/>
          <w:color w:val="auto"/>
          <w:szCs w:val="21"/>
          <w:lang w:eastAsia="zh-CN"/>
        </w:rPr>
        <w:t>广东省广裕集团韶关北江实业有限责任公司</w:t>
      </w:r>
      <w:r>
        <w:rPr>
          <w:rFonts w:hint="eastAsia" w:ascii="宋体" w:hAnsi="宋体" w:cs="Arial"/>
          <w:color w:val="auto"/>
          <w:szCs w:val="21"/>
        </w:rPr>
        <w:t>（</w:t>
      </w:r>
      <w:r>
        <w:rPr>
          <w:rFonts w:ascii="宋体" w:hAnsi="宋体"/>
          <w:color w:val="auto"/>
          <w:szCs w:val="21"/>
        </w:rPr>
        <w:t>以下简称“采购人”）的委托，</w:t>
      </w:r>
      <w:r>
        <w:rPr>
          <w:rFonts w:hint="eastAsia" w:ascii="宋体" w:hAnsi="宋体"/>
          <w:color w:val="auto"/>
          <w:szCs w:val="21"/>
        </w:rPr>
        <w:t>对</w:t>
      </w:r>
      <w:r>
        <w:rPr>
          <w:rFonts w:hint="eastAsia" w:ascii="宋体" w:hAnsi="宋体"/>
          <w:color w:val="auto"/>
          <w:szCs w:val="21"/>
          <w:lang w:eastAsia="zh-CN"/>
        </w:rPr>
        <w:t>广裕集团韶关北江实业有限责任公司收押中心（首层）改造车间项目</w:t>
      </w:r>
      <w:r>
        <w:rPr>
          <w:rFonts w:hint="eastAsia" w:ascii="宋体" w:hAnsi="宋体"/>
          <w:color w:val="auto"/>
          <w:szCs w:val="21"/>
        </w:rPr>
        <w:t>进行竞争性磋商采购。</w:t>
      </w:r>
    </w:p>
    <w:p w14:paraId="45690634">
      <w:pPr>
        <w:snapToGrid w:val="0"/>
        <w:spacing w:line="360" w:lineRule="auto"/>
        <w:rPr>
          <w:rFonts w:ascii="宋体" w:hAnsi="宋体"/>
          <w:b/>
          <w:bCs/>
          <w:color w:val="auto"/>
          <w:szCs w:val="21"/>
        </w:rPr>
      </w:pPr>
      <w:r>
        <w:rPr>
          <w:rFonts w:hint="eastAsia" w:ascii="宋体" w:hAnsi="宋体" w:cs="Tahoma"/>
          <w:b/>
          <w:bCs/>
          <w:color w:val="auto"/>
          <w:szCs w:val="21"/>
        </w:rPr>
        <w:t>一、</w:t>
      </w:r>
      <w:r>
        <w:rPr>
          <w:rFonts w:hint="eastAsia" w:ascii="宋体" w:hAnsi="宋体" w:cs="Arial"/>
          <w:b/>
          <w:bCs/>
          <w:color w:val="auto"/>
          <w:szCs w:val="21"/>
        </w:rPr>
        <w:t>采购</w:t>
      </w:r>
      <w:r>
        <w:rPr>
          <w:rFonts w:hint="eastAsia" w:ascii="宋体" w:hAnsi="宋体" w:cs="Tahoma"/>
          <w:b/>
          <w:bCs/>
          <w:color w:val="auto"/>
          <w:szCs w:val="21"/>
        </w:rPr>
        <w:t>项目简要</w:t>
      </w:r>
      <w:r>
        <w:rPr>
          <w:rFonts w:hint="eastAsia" w:ascii="宋体" w:hAnsi="宋体"/>
          <w:b/>
          <w:bCs/>
          <w:color w:val="auto"/>
          <w:szCs w:val="21"/>
        </w:rPr>
        <w:t>采购内容：</w:t>
      </w:r>
    </w:p>
    <w:p w14:paraId="07C2FB40">
      <w:pPr>
        <w:snapToGrid w:val="0"/>
        <w:spacing w:line="360" w:lineRule="auto"/>
        <w:ind w:firstLine="105" w:firstLineChars="50"/>
        <w:rPr>
          <w:rFonts w:hint="eastAsia" w:ascii="宋体" w:hAnsi="宋体" w:eastAsia="宋体" w:cs="Arial"/>
          <w:b/>
          <w:iCs/>
          <w:color w:val="auto"/>
          <w:szCs w:val="21"/>
          <w:lang w:eastAsia="zh-CN"/>
        </w:rPr>
      </w:pPr>
      <w:r>
        <w:rPr>
          <w:rFonts w:hint="eastAsia" w:ascii="宋体" w:hAnsi="宋体"/>
          <w:color w:val="auto"/>
          <w:szCs w:val="21"/>
        </w:rPr>
        <w:t>1.项目编号：</w:t>
      </w:r>
      <w:r>
        <w:rPr>
          <w:rFonts w:hint="eastAsia" w:ascii="宋体" w:hAnsi="宋体"/>
          <w:bCs/>
          <w:color w:val="auto"/>
          <w:szCs w:val="21"/>
          <w:lang w:eastAsia="zh-CN"/>
        </w:rPr>
        <w:t>202504027109030</w:t>
      </w:r>
    </w:p>
    <w:p w14:paraId="3F4C82B9">
      <w:pPr>
        <w:snapToGrid w:val="0"/>
        <w:spacing w:line="360" w:lineRule="auto"/>
        <w:ind w:firstLine="105" w:firstLineChars="50"/>
        <w:rPr>
          <w:rFonts w:ascii="宋体" w:hAnsi="宋体"/>
          <w:color w:val="auto"/>
          <w:szCs w:val="21"/>
        </w:rPr>
      </w:pPr>
      <w:r>
        <w:rPr>
          <w:rFonts w:hint="eastAsia" w:ascii="宋体" w:hAnsi="宋体"/>
          <w:color w:val="auto"/>
          <w:szCs w:val="21"/>
        </w:rPr>
        <w:t>2.项目名称：</w:t>
      </w:r>
      <w:r>
        <w:rPr>
          <w:rFonts w:hint="eastAsia" w:ascii="宋体" w:hAnsi="宋体"/>
          <w:color w:val="auto"/>
          <w:szCs w:val="21"/>
          <w:lang w:eastAsia="zh-CN"/>
        </w:rPr>
        <w:t>广裕集团韶关北江实业有限责任公司收押中心（首层）改造车间项目</w:t>
      </w:r>
    </w:p>
    <w:p w14:paraId="34E2B4EE">
      <w:pPr>
        <w:snapToGrid w:val="0"/>
        <w:spacing w:line="360" w:lineRule="auto"/>
        <w:ind w:firstLine="105" w:firstLineChars="50"/>
        <w:rPr>
          <w:rFonts w:ascii="宋体" w:hAnsi="宋体"/>
          <w:color w:val="auto"/>
          <w:szCs w:val="21"/>
        </w:rPr>
      </w:pPr>
      <w:r>
        <w:rPr>
          <w:rFonts w:hint="eastAsia" w:ascii="宋体" w:hAnsi="宋体"/>
          <w:color w:val="auto"/>
          <w:szCs w:val="21"/>
        </w:rPr>
        <w:t>3.项目类型：</w:t>
      </w:r>
      <w:r>
        <w:rPr>
          <w:rFonts w:hint="eastAsia" w:ascii="宋体" w:hAnsi="宋体"/>
          <w:color w:val="auto"/>
          <w:szCs w:val="21"/>
          <w:lang w:val="en-US" w:eastAsia="zh-CN"/>
        </w:rPr>
        <w:t>工程</w:t>
      </w:r>
      <w:r>
        <w:rPr>
          <w:rFonts w:hint="eastAsia" w:ascii="宋体" w:hAnsi="宋体"/>
          <w:color w:val="auto"/>
          <w:szCs w:val="21"/>
        </w:rPr>
        <w:t>类</w:t>
      </w:r>
    </w:p>
    <w:p w14:paraId="5C0D8C4C">
      <w:pPr>
        <w:snapToGrid w:val="0"/>
        <w:spacing w:line="360" w:lineRule="auto"/>
        <w:ind w:firstLine="105" w:firstLineChars="50"/>
        <w:rPr>
          <w:rFonts w:ascii="宋体" w:hAnsi="宋体"/>
          <w:color w:val="auto"/>
          <w:szCs w:val="21"/>
        </w:rPr>
      </w:pPr>
      <w:r>
        <w:rPr>
          <w:rFonts w:hint="eastAsia" w:ascii="宋体" w:hAnsi="宋体"/>
          <w:color w:val="auto"/>
          <w:szCs w:val="21"/>
        </w:rPr>
        <w:t>4.项目基本情况</w:t>
      </w:r>
    </w:p>
    <w:tbl>
      <w:tblPr>
        <w:tblStyle w:val="36"/>
        <w:tblW w:w="9132"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989"/>
        <w:gridCol w:w="1829"/>
        <w:gridCol w:w="1000"/>
        <w:gridCol w:w="2663"/>
      </w:tblGrid>
      <w:tr w14:paraId="560C43F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1" w:type="dxa"/>
            <w:vAlign w:val="center"/>
          </w:tcPr>
          <w:p w14:paraId="446461D2">
            <w:pPr>
              <w:widowControl/>
              <w:snapToGrid w:val="0"/>
              <w:jc w:val="center"/>
              <w:rPr>
                <w:rFonts w:ascii="宋体" w:hAnsi="宋体"/>
                <w:b/>
                <w:bCs/>
                <w:color w:val="auto"/>
                <w:szCs w:val="21"/>
              </w:rPr>
            </w:pPr>
            <w:r>
              <w:rPr>
                <w:rFonts w:hint="eastAsia" w:ascii="宋体" w:hAnsi="宋体"/>
                <w:b/>
                <w:bCs/>
                <w:color w:val="auto"/>
                <w:szCs w:val="21"/>
              </w:rPr>
              <w:t>序号</w:t>
            </w:r>
          </w:p>
        </w:tc>
        <w:tc>
          <w:tcPr>
            <w:tcW w:w="2989" w:type="dxa"/>
            <w:vAlign w:val="center"/>
          </w:tcPr>
          <w:p w14:paraId="38016710">
            <w:pPr>
              <w:widowControl/>
              <w:snapToGrid w:val="0"/>
              <w:ind w:firstLine="105" w:firstLineChars="50"/>
              <w:jc w:val="center"/>
              <w:rPr>
                <w:rFonts w:ascii="宋体" w:hAnsi="宋体"/>
                <w:b/>
                <w:bCs/>
                <w:color w:val="auto"/>
                <w:szCs w:val="21"/>
              </w:rPr>
            </w:pPr>
            <w:r>
              <w:rPr>
                <w:rFonts w:hint="eastAsia" w:ascii="宋体" w:hAnsi="宋体"/>
                <w:b/>
                <w:bCs/>
                <w:color w:val="auto"/>
                <w:szCs w:val="21"/>
              </w:rPr>
              <w:t>项目名称</w:t>
            </w:r>
          </w:p>
        </w:tc>
        <w:tc>
          <w:tcPr>
            <w:tcW w:w="1829" w:type="dxa"/>
            <w:vAlign w:val="center"/>
          </w:tcPr>
          <w:p w14:paraId="7EAC0EA8">
            <w:pPr>
              <w:widowControl/>
              <w:snapToGrid w:val="0"/>
              <w:jc w:val="center"/>
              <w:rPr>
                <w:rFonts w:ascii="宋体" w:hAnsi="宋体"/>
                <w:b/>
                <w:bCs/>
                <w:color w:val="auto"/>
                <w:szCs w:val="21"/>
              </w:rPr>
            </w:pPr>
            <w:r>
              <w:rPr>
                <w:rFonts w:hint="eastAsia" w:ascii="宋体" w:hAnsi="宋体"/>
                <w:b/>
                <w:bCs/>
                <w:color w:val="auto"/>
                <w:szCs w:val="21"/>
              </w:rPr>
              <w:t>预算金额（元）</w:t>
            </w:r>
          </w:p>
        </w:tc>
        <w:tc>
          <w:tcPr>
            <w:tcW w:w="1000" w:type="dxa"/>
            <w:vAlign w:val="center"/>
          </w:tcPr>
          <w:p w14:paraId="44ED005F">
            <w:pPr>
              <w:pStyle w:val="10"/>
              <w:snapToGrid w:val="0"/>
              <w:ind w:firstLine="0"/>
              <w:jc w:val="center"/>
              <w:rPr>
                <w:rFonts w:ascii="宋体" w:hAnsi="宋体"/>
                <w:b/>
                <w:bCs/>
                <w:color w:val="auto"/>
                <w:szCs w:val="21"/>
              </w:rPr>
            </w:pPr>
            <w:r>
              <w:rPr>
                <w:rFonts w:hint="eastAsia"/>
                <w:b/>
                <w:bCs/>
                <w:color w:val="auto"/>
              </w:rPr>
              <w:t>数量</w:t>
            </w:r>
          </w:p>
        </w:tc>
        <w:tc>
          <w:tcPr>
            <w:tcW w:w="2663" w:type="dxa"/>
            <w:vAlign w:val="center"/>
          </w:tcPr>
          <w:p w14:paraId="2B483E57">
            <w:pPr>
              <w:widowControl/>
              <w:snapToGrid w:val="0"/>
              <w:jc w:val="center"/>
              <w:rPr>
                <w:rFonts w:hint="eastAsia" w:ascii="宋体" w:hAnsi="宋体" w:eastAsia="宋体"/>
                <w:b/>
                <w:bCs/>
                <w:color w:val="auto"/>
                <w:szCs w:val="21"/>
                <w:lang w:eastAsia="zh-CN"/>
              </w:rPr>
            </w:pPr>
            <w:r>
              <w:rPr>
                <w:rFonts w:hint="eastAsia" w:ascii="宋体" w:hAnsi="宋体"/>
                <w:b/>
                <w:bCs/>
                <w:color w:val="auto"/>
                <w:szCs w:val="21"/>
                <w:lang w:eastAsia="zh-CN"/>
              </w:rPr>
              <w:t>工期</w:t>
            </w:r>
          </w:p>
        </w:tc>
      </w:tr>
      <w:tr w14:paraId="4CB8211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651" w:type="dxa"/>
            <w:vAlign w:val="center"/>
          </w:tcPr>
          <w:p w14:paraId="4DEBA8F4">
            <w:pPr>
              <w:widowControl/>
              <w:snapToGrid w:val="0"/>
              <w:jc w:val="center"/>
              <w:rPr>
                <w:rFonts w:ascii="宋体" w:hAnsi="宋体"/>
                <w:color w:val="auto"/>
                <w:szCs w:val="21"/>
              </w:rPr>
            </w:pPr>
            <w:r>
              <w:rPr>
                <w:rFonts w:hint="eastAsia" w:ascii="宋体" w:hAnsi="宋体"/>
                <w:color w:val="auto"/>
                <w:szCs w:val="21"/>
              </w:rPr>
              <w:t>1</w:t>
            </w:r>
          </w:p>
        </w:tc>
        <w:tc>
          <w:tcPr>
            <w:tcW w:w="2989" w:type="dxa"/>
            <w:vAlign w:val="center"/>
          </w:tcPr>
          <w:p w14:paraId="0FD8D198">
            <w:pPr>
              <w:widowControl/>
              <w:snapToGrid w:val="0"/>
              <w:jc w:val="center"/>
              <w:rPr>
                <w:rFonts w:ascii="宋体" w:hAnsi="宋体"/>
                <w:color w:val="auto"/>
                <w:szCs w:val="21"/>
              </w:rPr>
            </w:pPr>
            <w:r>
              <w:rPr>
                <w:rFonts w:hint="eastAsia" w:ascii="宋体" w:hAnsi="宋体"/>
                <w:color w:val="auto"/>
                <w:szCs w:val="21"/>
                <w:lang w:eastAsia="zh-CN"/>
              </w:rPr>
              <w:t>广裕集团韶关北江实业有限责任公司收押中心（首层）改造车间项目</w:t>
            </w:r>
          </w:p>
        </w:tc>
        <w:tc>
          <w:tcPr>
            <w:tcW w:w="1829" w:type="dxa"/>
            <w:vAlign w:val="center"/>
          </w:tcPr>
          <w:p w14:paraId="1A54135B">
            <w:pPr>
              <w:widowControl/>
              <w:snapToGrid w:val="0"/>
              <w:jc w:val="center"/>
              <w:rPr>
                <w:rFonts w:ascii="宋体" w:hAnsi="宋体"/>
                <w:color w:val="auto"/>
                <w:szCs w:val="21"/>
              </w:rPr>
            </w:pPr>
            <w:r>
              <w:rPr>
                <w:rFonts w:hint="eastAsia" w:ascii="宋体" w:hAnsi="宋体"/>
                <w:color w:val="auto"/>
                <w:szCs w:val="21"/>
              </w:rPr>
              <w:t>￥</w:t>
            </w:r>
            <w:r>
              <w:rPr>
                <w:rFonts w:hint="eastAsia" w:ascii="宋体" w:hAnsi="宋体"/>
                <w:color w:val="auto"/>
                <w:szCs w:val="21"/>
                <w:lang w:eastAsia="zh-CN"/>
              </w:rPr>
              <w:t>184395.54</w:t>
            </w:r>
            <w:r>
              <w:rPr>
                <w:rFonts w:hint="eastAsia" w:ascii="宋体" w:hAnsi="宋体"/>
                <w:color w:val="auto"/>
                <w:szCs w:val="21"/>
              </w:rPr>
              <w:t>元</w:t>
            </w:r>
          </w:p>
        </w:tc>
        <w:tc>
          <w:tcPr>
            <w:tcW w:w="1000" w:type="dxa"/>
            <w:vAlign w:val="center"/>
          </w:tcPr>
          <w:p w14:paraId="2F284657">
            <w:pPr>
              <w:pStyle w:val="10"/>
              <w:snapToGrid w:val="0"/>
              <w:ind w:firstLine="0"/>
              <w:jc w:val="center"/>
              <w:rPr>
                <w:rFonts w:ascii="宋体" w:hAnsi="宋体"/>
                <w:color w:val="auto"/>
                <w:szCs w:val="21"/>
              </w:rPr>
            </w:pPr>
            <w:r>
              <w:rPr>
                <w:rFonts w:hint="eastAsia" w:ascii="宋体" w:hAnsi="宋体"/>
                <w:color w:val="auto"/>
                <w:szCs w:val="21"/>
              </w:rPr>
              <w:t>1项</w:t>
            </w:r>
          </w:p>
        </w:tc>
        <w:tc>
          <w:tcPr>
            <w:tcW w:w="2663" w:type="dxa"/>
            <w:vAlign w:val="center"/>
          </w:tcPr>
          <w:p w14:paraId="7CFCD47D">
            <w:pPr>
              <w:widowControl/>
              <w:snapToGrid w:val="0"/>
              <w:jc w:val="center"/>
              <w:rPr>
                <w:rFonts w:hint="eastAsia" w:ascii="宋体" w:hAnsi="宋体" w:eastAsia="宋体"/>
                <w:color w:val="auto"/>
                <w:szCs w:val="21"/>
                <w:lang w:eastAsia="zh-CN"/>
              </w:rPr>
            </w:pPr>
            <w:r>
              <w:rPr>
                <w:rFonts w:hint="eastAsia" w:ascii="宋体" w:hAnsi="宋体"/>
                <w:color w:val="auto"/>
                <w:szCs w:val="21"/>
                <w:lang w:eastAsia="zh-CN"/>
              </w:rPr>
              <w:t>15个日历天，成交供应商必须在所要求的工期内完成全部招标工程</w:t>
            </w:r>
          </w:p>
        </w:tc>
      </w:tr>
    </w:tbl>
    <w:p w14:paraId="1D3085B2">
      <w:pPr>
        <w:snapToGrid w:val="0"/>
        <w:spacing w:line="360" w:lineRule="auto"/>
        <w:rPr>
          <w:rFonts w:ascii="宋体" w:hAnsi="宋体" w:cs="Arial"/>
          <w:color w:val="auto"/>
          <w:szCs w:val="21"/>
        </w:rPr>
      </w:pPr>
      <w:r>
        <w:rPr>
          <w:rFonts w:hint="eastAsia" w:ascii="宋体" w:hAnsi="宋体"/>
          <w:color w:val="auto"/>
          <w:szCs w:val="21"/>
        </w:rPr>
        <w:t>（备注：1、响应供应商必须对项目全部内容进行投标，不允许仅对其中部分内容进行投标。）</w:t>
      </w:r>
    </w:p>
    <w:p w14:paraId="3AC765AD">
      <w:pPr>
        <w:snapToGrid w:val="0"/>
        <w:spacing w:line="360" w:lineRule="auto"/>
        <w:ind w:firstLine="105" w:firstLineChars="50"/>
        <w:rPr>
          <w:rFonts w:ascii="宋体" w:hAnsi="宋体" w:cs="Tahoma"/>
          <w:b/>
          <w:bCs/>
          <w:color w:val="auto"/>
          <w:szCs w:val="21"/>
        </w:rPr>
      </w:pPr>
      <w:r>
        <w:rPr>
          <w:rFonts w:hint="eastAsia" w:ascii="宋体" w:hAnsi="宋体" w:cs="Tahoma"/>
          <w:b/>
          <w:bCs/>
          <w:color w:val="auto"/>
          <w:szCs w:val="21"/>
        </w:rPr>
        <w:t>二、合格响应供应商资格要求</w:t>
      </w:r>
    </w:p>
    <w:p w14:paraId="6745347B">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1.供应商具备《政府采购法》第二十二条所规定的条件。提供以下材料：</w:t>
      </w:r>
    </w:p>
    <w:p w14:paraId="3AC366ED">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（1）具有独立承担民事责任的能力（提供法人营业执照或者其他组织登记文件等证明文件，自然人的身份证明）；</w:t>
      </w:r>
    </w:p>
    <w:p w14:paraId="236D915C">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（2）具有良好的商业信誉和健全的财务会计制度</w:t>
      </w:r>
      <w:r>
        <w:rPr>
          <w:rFonts w:hint="eastAsia" w:ascii="宋体" w:hAnsi="宋体" w:cs="Tahoma"/>
          <w:color w:val="auto"/>
          <w:szCs w:val="21"/>
          <w:lang w:val="zh-CN"/>
        </w:rPr>
        <w:t>（提供《资格条件承诺函》）；</w:t>
      </w:r>
    </w:p>
    <w:p w14:paraId="5A568AD0">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（3）有依法缴纳税收和社会保障资金的良好记录（提供《资格条件承诺函》）；</w:t>
      </w:r>
    </w:p>
    <w:p w14:paraId="1BC2BCB4">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（4）具有履行合同所必需的设备和专业技术能力（提供《资格条件承诺函》）；</w:t>
      </w:r>
    </w:p>
    <w:p w14:paraId="7ECBD2C2">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（5）提供参加政府采购活动前三年内在经营活动中没有重大违法记录的书面声明（填写磋商文件格式4资格声明函）；</w:t>
      </w:r>
    </w:p>
    <w:p w14:paraId="1FA87562">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2.未列入“信用中国”网站中“记录失信被执行人或重大税收违法失信主体或政府采购严重违法失信行为”的记录名单；不处于“中国政府采购网”中“政府采购严重违法失信行为信息记录”的禁止参加政府采购活动期间（以“信用中国”网站（www.creditchina.gov.cn）及中国政府采购网(www.ccgp.gov.cn)查询结果为准，如在上述网站查询结果均显示没有相关记录，视为没有上述不良信用记录。如相关失信记录已失效，供应商须提供相关证明资料）。</w:t>
      </w:r>
    </w:p>
    <w:p w14:paraId="222C93AC">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3</w:t>
      </w:r>
      <w:r>
        <w:rPr>
          <w:rFonts w:hint="eastAsia" w:ascii="宋体" w:hAnsi="宋体" w:cs="Tahoma"/>
          <w:color w:val="auto"/>
          <w:szCs w:val="21"/>
        </w:rPr>
        <w:t>.供应商须具备建设行政主管部门颁发的建筑工程施工总承包三级以上（含三级）资质，并具备有效的安全生产许可证。【根据有关文件精神，供应商的企业相关证书到期的，均按该证书的发证机构相关行业主管部门最新文件执行（如自动顺延或推迟办理延期业务的通知），供应商必须将相关文件附在该证书后面，证明在开标日继续有效。】</w:t>
      </w:r>
    </w:p>
    <w:p w14:paraId="6A4C4555">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4</w:t>
      </w:r>
      <w:r>
        <w:rPr>
          <w:rFonts w:hint="eastAsia" w:ascii="宋体" w:hAnsi="宋体" w:cs="Tahoma"/>
          <w:color w:val="auto"/>
          <w:szCs w:val="21"/>
        </w:rPr>
        <w:t>.已登记报名并获取本项目采购文件。</w:t>
      </w:r>
    </w:p>
    <w:p w14:paraId="551143C9">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5</w:t>
      </w:r>
      <w:r>
        <w:rPr>
          <w:rFonts w:hint="eastAsia" w:ascii="宋体" w:hAnsi="宋体" w:cs="Tahoma"/>
          <w:color w:val="auto"/>
          <w:szCs w:val="21"/>
        </w:rPr>
        <w:t>.本项目不接受联合体报价。</w:t>
      </w:r>
    </w:p>
    <w:p w14:paraId="7F49E33F">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6</w:t>
      </w:r>
      <w:r>
        <w:rPr>
          <w:rFonts w:hint="eastAsia" w:ascii="宋体" w:hAnsi="宋体" w:cs="Tahoma"/>
          <w:color w:val="auto"/>
          <w:szCs w:val="21"/>
        </w:rPr>
        <w:t>.存在隶属关系或同属一母公司或法人的企业，仅能由一家企业参与投标。</w:t>
      </w:r>
    </w:p>
    <w:p w14:paraId="4CAA4188">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7</w:t>
      </w:r>
      <w:r>
        <w:rPr>
          <w:rFonts w:hint="eastAsia" w:ascii="宋体" w:hAnsi="宋体" w:cs="Tahoma"/>
          <w:color w:val="auto"/>
          <w:szCs w:val="21"/>
        </w:rPr>
        <w:t>.登记获取磋商文件时提供报名资料如下：</w:t>
      </w:r>
    </w:p>
    <w:p w14:paraId="45CD836F">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（1）营业执照复印件（加盖公章）；（2）法人代表证明及授权文件（原件，版本从http：//www.gzqunsheng.com/常用文件一栏下载）；（3）报名登记表（版本从http：//www.gzqunsheng.com/常用文件一栏下载）。</w:t>
      </w:r>
    </w:p>
    <w:p w14:paraId="7CF2B371">
      <w:pPr>
        <w:pStyle w:val="15"/>
        <w:snapToGrid w:val="0"/>
        <w:ind w:left="0"/>
        <w:rPr>
          <w:b/>
          <w:bCs/>
          <w:color w:val="auto"/>
          <w:sz w:val="21"/>
          <w:szCs w:val="21"/>
        </w:rPr>
      </w:pPr>
      <w:r>
        <w:rPr>
          <w:rFonts w:hint="eastAsia"/>
          <w:b/>
          <w:bCs/>
          <w:color w:val="auto"/>
          <w:sz w:val="21"/>
          <w:szCs w:val="21"/>
        </w:rPr>
        <w:t>三、获取磋商文件的时间、地点、方式及磋商文件售价</w:t>
      </w:r>
    </w:p>
    <w:p w14:paraId="5E15A48C">
      <w:pPr>
        <w:snapToGrid w:val="0"/>
        <w:spacing w:line="360" w:lineRule="auto"/>
        <w:rPr>
          <w:rFonts w:ascii="宋体" w:hAnsi="宋体"/>
          <w:color w:val="auto"/>
          <w:szCs w:val="21"/>
        </w:rPr>
      </w:pPr>
      <w:r>
        <w:rPr>
          <w:rFonts w:hint="eastAsia" w:ascii="宋体" w:hAnsi="宋体"/>
          <w:color w:val="auto"/>
          <w:szCs w:val="21"/>
        </w:rPr>
        <w:t>1．获</w:t>
      </w:r>
      <w:r>
        <w:rPr>
          <w:rFonts w:hint="eastAsia" w:ascii="宋体" w:hAnsi="宋体" w:cs="Tahoma"/>
          <w:color w:val="auto"/>
          <w:szCs w:val="21"/>
        </w:rPr>
        <w:t>取磋商文件</w:t>
      </w:r>
      <w:r>
        <w:rPr>
          <w:rFonts w:ascii="宋体" w:hAnsi="宋体" w:cs="Tahoma"/>
          <w:color w:val="auto"/>
          <w:szCs w:val="21"/>
        </w:rPr>
        <w:t>时间：</w:t>
      </w:r>
      <w:r>
        <w:rPr>
          <w:rFonts w:hint="eastAsia" w:ascii="宋体" w:hAnsi="宋体"/>
          <w:color w:val="auto"/>
          <w:szCs w:val="21"/>
          <w:lang w:eastAsia="zh-CN"/>
        </w:rPr>
        <w:t>2025</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日起至</w:t>
      </w:r>
      <w:r>
        <w:rPr>
          <w:rFonts w:hint="eastAsia" w:ascii="宋体" w:hAnsi="宋体"/>
          <w:color w:val="auto"/>
          <w:szCs w:val="21"/>
          <w:lang w:eastAsia="zh-CN"/>
        </w:rPr>
        <w:t>2025</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日9：00～12：00，下午14：30～17：30（北京时间,节假日除外）</w:t>
      </w:r>
    </w:p>
    <w:p w14:paraId="5BD431FC">
      <w:pPr>
        <w:snapToGrid w:val="0"/>
        <w:spacing w:line="360" w:lineRule="auto"/>
        <w:rPr>
          <w:rFonts w:ascii="宋体" w:hAnsi="宋体"/>
          <w:color w:val="auto"/>
          <w:szCs w:val="21"/>
        </w:rPr>
      </w:pPr>
      <w:r>
        <w:rPr>
          <w:rFonts w:hint="eastAsia" w:ascii="宋体" w:hAnsi="宋体"/>
          <w:color w:val="auto"/>
          <w:szCs w:val="21"/>
        </w:rPr>
        <w:t>2．获取</w:t>
      </w:r>
      <w:r>
        <w:rPr>
          <w:rFonts w:hint="eastAsia" w:ascii="宋体" w:hAnsi="宋体" w:cs="Tahoma"/>
          <w:color w:val="auto"/>
          <w:szCs w:val="21"/>
        </w:rPr>
        <w:t>磋商文件</w:t>
      </w:r>
      <w:r>
        <w:rPr>
          <w:rFonts w:hint="eastAsia" w:ascii="宋体" w:hAnsi="宋体"/>
          <w:color w:val="auto"/>
          <w:szCs w:val="21"/>
        </w:rPr>
        <w:t>地点：韶关市浈江区风采路中华新街52号4楼</w:t>
      </w:r>
    </w:p>
    <w:p w14:paraId="39FF2D90">
      <w:pPr>
        <w:snapToGrid w:val="0"/>
        <w:spacing w:line="360" w:lineRule="auto"/>
        <w:rPr>
          <w:rFonts w:ascii="宋体" w:hAnsi="宋体"/>
          <w:color w:val="auto"/>
          <w:szCs w:val="21"/>
        </w:rPr>
      </w:pPr>
      <w:r>
        <w:rPr>
          <w:rFonts w:hint="eastAsia" w:ascii="宋体" w:hAnsi="宋体"/>
          <w:color w:val="auto"/>
          <w:szCs w:val="21"/>
        </w:rPr>
        <w:t>3．</w:t>
      </w:r>
      <w:r>
        <w:rPr>
          <w:rFonts w:hint="eastAsia" w:ascii="宋体" w:hAnsi="宋体" w:cs="Tahoma"/>
          <w:color w:val="auto"/>
          <w:szCs w:val="21"/>
        </w:rPr>
        <w:t>磋商文件</w:t>
      </w:r>
      <w:r>
        <w:rPr>
          <w:rFonts w:ascii="宋体" w:hAnsi="宋体"/>
          <w:color w:val="auto"/>
          <w:szCs w:val="21"/>
        </w:rPr>
        <w:t>售价：</w:t>
      </w:r>
      <w:r>
        <w:rPr>
          <w:rFonts w:hint="eastAsia" w:ascii="宋体" w:hAnsi="宋体" w:cs="Tahoma"/>
          <w:color w:val="auto"/>
          <w:szCs w:val="21"/>
        </w:rPr>
        <w:t>现场报名</w:t>
      </w:r>
      <w:r>
        <w:rPr>
          <w:rFonts w:hint="eastAsia" w:ascii="宋体" w:hAnsi="宋体" w:cs="Tahoma"/>
          <w:color w:val="auto"/>
          <w:szCs w:val="21"/>
          <w:lang w:eastAsia="zh-CN"/>
        </w:rPr>
        <w:t>，</w:t>
      </w:r>
      <w:r>
        <w:rPr>
          <w:rFonts w:hint="eastAsia" w:ascii="宋体" w:hAnsi="宋体"/>
          <w:color w:val="auto"/>
          <w:szCs w:val="21"/>
          <w:lang w:val="en-US" w:eastAsia="zh-CN"/>
        </w:rPr>
        <w:t>免费获取招标文件</w:t>
      </w:r>
      <w:r>
        <w:rPr>
          <w:rFonts w:hint="eastAsia" w:ascii="宋体" w:hAnsi="宋体" w:cs="Tahoma"/>
          <w:color w:val="auto"/>
          <w:szCs w:val="21"/>
        </w:rPr>
        <w:t>。</w:t>
      </w:r>
    </w:p>
    <w:p w14:paraId="19499ED6">
      <w:pPr>
        <w:snapToGrid w:val="0"/>
        <w:spacing w:line="360" w:lineRule="auto"/>
        <w:rPr>
          <w:rFonts w:ascii="宋体" w:hAnsi="宋体" w:cs="Tahoma"/>
          <w:b/>
          <w:bCs/>
          <w:color w:val="auto"/>
          <w:szCs w:val="21"/>
        </w:rPr>
      </w:pPr>
      <w:r>
        <w:rPr>
          <w:rFonts w:hint="eastAsia" w:ascii="宋体" w:hAnsi="宋体" w:cs="Tahoma"/>
          <w:b/>
          <w:bCs/>
          <w:color w:val="auto"/>
          <w:szCs w:val="21"/>
        </w:rPr>
        <w:t>四、响应截止时间及地点</w:t>
      </w:r>
    </w:p>
    <w:p w14:paraId="7D81CED6">
      <w:pPr>
        <w:snapToGrid w:val="0"/>
        <w:spacing w:line="360" w:lineRule="auto"/>
        <w:rPr>
          <w:rFonts w:ascii="宋体" w:hAnsi="宋体"/>
          <w:color w:val="auto"/>
          <w:szCs w:val="21"/>
        </w:rPr>
      </w:pPr>
      <w:r>
        <w:rPr>
          <w:rFonts w:hint="eastAsia" w:ascii="宋体" w:hAnsi="宋体"/>
          <w:color w:val="auto"/>
          <w:szCs w:val="21"/>
        </w:rPr>
        <w:t>1.递交响应文件时间：</w:t>
      </w:r>
      <w:r>
        <w:rPr>
          <w:rFonts w:hint="eastAsia" w:ascii="宋体" w:hAnsi="宋体"/>
          <w:color w:val="auto"/>
          <w:szCs w:val="21"/>
          <w:lang w:eastAsia="zh-CN"/>
        </w:rPr>
        <w:t>2025</w:t>
      </w:r>
      <w:r>
        <w:rPr>
          <w:rFonts w:hint="eastAsia" w:ascii="宋体" w:hAnsi="宋体"/>
          <w:color w:val="auto"/>
          <w:szCs w:val="21"/>
        </w:rPr>
        <w:t>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21</w:t>
      </w:r>
      <w:r>
        <w:rPr>
          <w:rFonts w:ascii="宋体" w:hAnsi="宋体"/>
          <w:color w:val="auto"/>
          <w:szCs w:val="21"/>
        </w:rPr>
        <w:t>日</w:t>
      </w:r>
      <w:r>
        <w:rPr>
          <w:rFonts w:hint="eastAsia" w:ascii="宋体" w:hAnsi="宋体"/>
          <w:color w:val="auto"/>
          <w:szCs w:val="21"/>
          <w:lang w:eastAsia="zh-CN"/>
        </w:rPr>
        <w:t>下</w:t>
      </w:r>
      <w:r>
        <w:rPr>
          <w:rFonts w:hint="eastAsia" w:ascii="宋体" w:hAnsi="宋体"/>
          <w:color w:val="auto"/>
          <w:szCs w:val="21"/>
        </w:rPr>
        <w:t>午</w:t>
      </w:r>
      <w:r>
        <w:rPr>
          <w:rFonts w:hint="eastAsia" w:ascii="宋体" w:hAnsi="宋体"/>
          <w:color w:val="auto"/>
          <w:szCs w:val="21"/>
          <w:lang w:val="en-US" w:eastAsia="zh-CN"/>
        </w:rPr>
        <w:t>14</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w:t>
      </w:r>
      <w:r>
        <w:rPr>
          <w:rFonts w:hint="eastAsia" w:ascii="宋体" w:hAnsi="宋体"/>
          <w:color w:val="auto"/>
          <w:szCs w:val="21"/>
          <w:lang w:val="en-US" w:eastAsia="zh-CN"/>
        </w:rPr>
        <w:t>15</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0（北京时间）</w:t>
      </w:r>
    </w:p>
    <w:p w14:paraId="2FFA7F17">
      <w:pPr>
        <w:snapToGrid w:val="0"/>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响应文件递交截止时间</w:t>
      </w:r>
      <w:r>
        <w:rPr>
          <w:rFonts w:hint="eastAsia" w:ascii="宋体" w:hAnsi="宋体"/>
          <w:color w:val="auto"/>
          <w:szCs w:val="21"/>
        </w:rPr>
        <w:t>：</w:t>
      </w:r>
      <w:r>
        <w:rPr>
          <w:rFonts w:hint="eastAsia" w:ascii="宋体" w:hAnsi="宋体"/>
          <w:color w:val="auto"/>
          <w:szCs w:val="21"/>
          <w:lang w:eastAsia="zh-CN"/>
        </w:rPr>
        <w:t>2025</w:t>
      </w:r>
      <w:r>
        <w:rPr>
          <w:rFonts w:ascii="宋体" w:hAnsi="宋体"/>
          <w:color w:val="auto"/>
          <w:szCs w:val="21"/>
        </w:rPr>
        <w:t>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21</w:t>
      </w:r>
      <w:r>
        <w:rPr>
          <w:rFonts w:ascii="宋体" w:hAnsi="宋体"/>
          <w:color w:val="auto"/>
          <w:szCs w:val="21"/>
        </w:rPr>
        <w:t>日</w:t>
      </w:r>
      <w:r>
        <w:rPr>
          <w:rFonts w:hint="eastAsia" w:ascii="宋体" w:hAnsi="宋体"/>
          <w:color w:val="auto"/>
          <w:szCs w:val="21"/>
          <w:lang w:eastAsia="zh-CN"/>
        </w:rPr>
        <w:t>下</w:t>
      </w:r>
      <w:r>
        <w:rPr>
          <w:rFonts w:hint="eastAsia" w:ascii="宋体" w:hAnsi="宋体"/>
          <w:color w:val="auto"/>
          <w:szCs w:val="21"/>
        </w:rPr>
        <w:t>午</w:t>
      </w:r>
      <w:r>
        <w:rPr>
          <w:rFonts w:hint="eastAsia" w:ascii="宋体" w:hAnsi="宋体"/>
          <w:color w:val="auto"/>
          <w:szCs w:val="21"/>
          <w:lang w:val="en-US" w:eastAsia="zh-CN"/>
        </w:rPr>
        <w:t>15</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0（北京时间）</w:t>
      </w:r>
    </w:p>
    <w:p w14:paraId="4B6DC2CE">
      <w:pPr>
        <w:snapToGrid w:val="0"/>
        <w:spacing w:line="360" w:lineRule="auto"/>
        <w:rPr>
          <w:rFonts w:hAnsi="宋体" w:cs="Tahoma"/>
          <w:color w:val="auto"/>
          <w:szCs w:val="21"/>
        </w:rPr>
      </w:pPr>
      <w:r>
        <w:rPr>
          <w:rFonts w:hint="eastAsia" w:ascii="宋体" w:hAnsi="宋体" w:cs="Tahoma"/>
          <w:color w:val="auto"/>
          <w:szCs w:val="21"/>
        </w:rPr>
        <w:t>3.响应文件递交地点：</w:t>
      </w:r>
      <w:r>
        <w:rPr>
          <w:rFonts w:hint="eastAsia" w:ascii="宋体" w:hAnsi="宋体"/>
          <w:color w:val="auto"/>
          <w:szCs w:val="21"/>
        </w:rPr>
        <w:t>韶关市浈江区风采路中华新街52号4楼</w:t>
      </w:r>
    </w:p>
    <w:p w14:paraId="0FBB4644">
      <w:pPr>
        <w:snapToGrid w:val="0"/>
        <w:spacing w:line="360" w:lineRule="auto"/>
        <w:ind w:firstLine="315" w:firstLineChars="150"/>
        <w:rPr>
          <w:rFonts w:ascii="宋体" w:hAnsi="宋体" w:cs="Tahoma"/>
          <w:color w:val="auto"/>
          <w:szCs w:val="21"/>
        </w:rPr>
      </w:pPr>
      <w:r>
        <w:rPr>
          <w:rFonts w:hint="eastAsia" w:ascii="宋体" w:hAnsi="宋体" w:cs="Tahoma"/>
          <w:color w:val="auto"/>
          <w:szCs w:val="21"/>
        </w:rPr>
        <w:t>若已购买文件而决定不参加本项目的供应商，应在响应截止时间前2个工作日以书面形式（加盖公章）通知采购代理机构。</w:t>
      </w:r>
    </w:p>
    <w:p w14:paraId="766BCE16">
      <w:pPr>
        <w:numPr>
          <w:ilvl w:val="0"/>
          <w:numId w:val="2"/>
        </w:numPr>
        <w:snapToGrid w:val="0"/>
        <w:spacing w:line="360" w:lineRule="auto"/>
        <w:rPr>
          <w:rFonts w:ascii="宋体" w:hAnsi="宋体" w:cs="Tahoma"/>
          <w:b/>
          <w:bCs/>
          <w:color w:val="auto"/>
          <w:szCs w:val="21"/>
        </w:rPr>
      </w:pPr>
      <w:r>
        <w:rPr>
          <w:rFonts w:hint="eastAsia" w:ascii="宋体" w:hAnsi="宋体" w:cs="Tahoma"/>
          <w:b/>
          <w:bCs/>
          <w:color w:val="auto"/>
          <w:szCs w:val="21"/>
        </w:rPr>
        <w:t>公示媒体</w:t>
      </w:r>
    </w:p>
    <w:p w14:paraId="2D74ACA9">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本项目的所有相关公告会在中国招标投标公共服务平台（http：//www.cebpubservice.com/）和广州群生招标代理有限公司网站（www.gzqunsheng.com）上公布，公示期为自磋商文件公示之日起五个工作日</w:t>
      </w:r>
      <w:r>
        <w:rPr>
          <w:rFonts w:ascii="宋体" w:hAnsi="宋体" w:cs="Tahoma"/>
          <w:color w:val="auto"/>
          <w:szCs w:val="21"/>
        </w:rPr>
        <w:t>。公布之日即视为有效送达之日，不再另行通知。</w:t>
      </w:r>
    </w:p>
    <w:p w14:paraId="66E20738">
      <w:pPr>
        <w:snapToGrid w:val="0"/>
        <w:spacing w:line="360" w:lineRule="auto"/>
        <w:rPr>
          <w:rFonts w:ascii="宋体" w:hAnsi="宋体" w:cs="Tahoma"/>
          <w:b/>
          <w:bCs/>
          <w:color w:val="auto"/>
          <w:szCs w:val="21"/>
        </w:rPr>
      </w:pPr>
      <w:r>
        <w:rPr>
          <w:rFonts w:hint="eastAsia" w:ascii="宋体" w:hAnsi="宋体" w:cs="Tahoma"/>
          <w:b/>
          <w:bCs/>
          <w:color w:val="auto"/>
          <w:szCs w:val="21"/>
        </w:rPr>
        <w:t>六、采购人、采购代理机构的名称、地址和联系方式</w:t>
      </w:r>
    </w:p>
    <w:p w14:paraId="189C21B7">
      <w:pPr>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采购人名称：</w:t>
      </w:r>
      <w:r>
        <w:rPr>
          <w:rFonts w:hint="eastAsia" w:ascii="宋体" w:hAnsi="宋体"/>
          <w:color w:val="auto"/>
          <w:szCs w:val="21"/>
          <w:lang w:eastAsia="zh-CN"/>
        </w:rPr>
        <w:t>广东省广裕集团韶关北江实业有限责任公司</w:t>
      </w:r>
    </w:p>
    <w:p w14:paraId="2178C0DE">
      <w:pPr>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采购人地址：</w:t>
      </w:r>
      <w:r>
        <w:rPr>
          <w:rFonts w:hint="eastAsia" w:ascii="宋体" w:hAnsi="宋体" w:cs="Arial"/>
          <w:color w:val="auto"/>
          <w:szCs w:val="21"/>
        </w:rPr>
        <w:t>广东省韶关市浈江区十里亭</w:t>
      </w:r>
      <w:r>
        <w:rPr>
          <w:rFonts w:hint="eastAsia" w:ascii="宋体" w:hAnsi="宋体" w:cs="Tahoma"/>
          <w:color w:val="auto"/>
          <w:szCs w:val="21"/>
        </w:rPr>
        <w:t>黄岗</w:t>
      </w:r>
    </w:p>
    <w:p w14:paraId="42DDF789">
      <w:pPr>
        <w:snapToGrid w:val="0"/>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采购单位联系人：彭先生</w:t>
      </w:r>
    </w:p>
    <w:p w14:paraId="23399974">
      <w:pPr>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联系方式：0756-8836871</w:t>
      </w:r>
    </w:p>
    <w:p w14:paraId="1EC8B0BB">
      <w:pPr>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采购代理</w:t>
      </w:r>
      <w:r>
        <w:rPr>
          <w:rFonts w:ascii="宋体" w:hAnsi="宋体"/>
          <w:color w:val="auto"/>
          <w:szCs w:val="21"/>
        </w:rPr>
        <w:t>机构</w:t>
      </w:r>
      <w:r>
        <w:rPr>
          <w:rFonts w:hint="eastAsia" w:ascii="宋体" w:hAnsi="宋体"/>
          <w:color w:val="auto"/>
          <w:szCs w:val="21"/>
        </w:rPr>
        <w:t>名称</w:t>
      </w:r>
      <w:r>
        <w:rPr>
          <w:rFonts w:ascii="宋体" w:hAnsi="宋体"/>
          <w:color w:val="auto"/>
          <w:szCs w:val="21"/>
        </w:rPr>
        <w:t>：</w:t>
      </w:r>
      <w:r>
        <w:rPr>
          <w:rFonts w:hint="eastAsia" w:ascii="宋体" w:hAnsi="宋体"/>
          <w:color w:val="auto"/>
          <w:szCs w:val="21"/>
          <w:lang w:eastAsia="zh-CN"/>
        </w:rPr>
        <w:t>广州群生招标代理有限公司韶关分公司</w:t>
      </w:r>
    </w:p>
    <w:p w14:paraId="40BBF97B">
      <w:pPr>
        <w:snapToGrid w:val="0"/>
        <w:spacing w:line="360" w:lineRule="auto"/>
        <w:ind w:left="359" w:leftChars="171" w:firstLine="1"/>
        <w:rPr>
          <w:rFonts w:ascii="宋体" w:hAnsi="宋体"/>
          <w:color w:val="auto"/>
          <w:szCs w:val="21"/>
        </w:rPr>
      </w:pPr>
      <w:r>
        <w:rPr>
          <w:rFonts w:hint="eastAsia" w:ascii="宋体" w:hAnsi="宋体"/>
          <w:color w:val="auto"/>
          <w:szCs w:val="21"/>
        </w:rPr>
        <w:t xml:space="preserve"> 采购代理</w:t>
      </w:r>
      <w:r>
        <w:rPr>
          <w:rFonts w:ascii="宋体" w:hAnsi="宋体"/>
          <w:color w:val="auto"/>
          <w:szCs w:val="21"/>
        </w:rPr>
        <w:t>机构地点：</w:t>
      </w:r>
      <w:r>
        <w:rPr>
          <w:rFonts w:hint="eastAsia" w:ascii="宋体" w:hAnsi="宋体"/>
          <w:color w:val="auto"/>
          <w:szCs w:val="21"/>
        </w:rPr>
        <w:t>韶关市浈江区风采路中华新街52号4楼</w:t>
      </w:r>
    </w:p>
    <w:p w14:paraId="0A097EF8">
      <w:pPr>
        <w:snapToGrid w:val="0"/>
        <w:spacing w:line="360" w:lineRule="auto"/>
        <w:ind w:left="359" w:leftChars="171" w:firstLine="1"/>
        <w:rPr>
          <w:rFonts w:ascii="宋体" w:hAnsi="宋体"/>
          <w:color w:val="auto"/>
          <w:szCs w:val="21"/>
        </w:rPr>
      </w:pPr>
      <w:r>
        <w:rPr>
          <w:rFonts w:hint="eastAsia" w:ascii="宋体" w:hAnsi="宋体"/>
          <w:color w:val="auto"/>
          <w:szCs w:val="21"/>
        </w:rPr>
        <w:t xml:space="preserve"> 采购代理</w:t>
      </w:r>
      <w:r>
        <w:rPr>
          <w:rFonts w:ascii="宋体" w:hAnsi="宋体"/>
          <w:color w:val="auto"/>
          <w:szCs w:val="21"/>
        </w:rPr>
        <w:t>机构联系人：</w:t>
      </w:r>
      <w:r>
        <w:rPr>
          <w:rFonts w:hint="eastAsia" w:ascii="宋体" w:hAnsi="宋体"/>
          <w:color w:val="auto"/>
          <w:szCs w:val="21"/>
        </w:rPr>
        <w:t>刘工</w:t>
      </w:r>
    </w:p>
    <w:p w14:paraId="40B4BC21">
      <w:pPr>
        <w:snapToGrid w:val="0"/>
        <w:spacing w:line="360" w:lineRule="auto"/>
        <w:ind w:left="359" w:leftChars="171" w:firstLine="1"/>
        <w:rPr>
          <w:rFonts w:ascii="宋体" w:hAnsi="宋体"/>
          <w:color w:val="auto"/>
          <w:szCs w:val="21"/>
        </w:rPr>
      </w:pPr>
      <w:r>
        <w:rPr>
          <w:rFonts w:hint="eastAsia" w:ascii="宋体" w:hAnsi="宋体"/>
          <w:color w:val="auto"/>
          <w:szCs w:val="21"/>
        </w:rPr>
        <w:t xml:space="preserve"> 采购代理</w:t>
      </w:r>
      <w:r>
        <w:rPr>
          <w:rFonts w:ascii="宋体" w:hAnsi="宋体"/>
          <w:color w:val="auto"/>
          <w:szCs w:val="21"/>
        </w:rPr>
        <w:t>机构</w:t>
      </w:r>
      <w:r>
        <w:rPr>
          <w:rFonts w:hint="eastAsia" w:ascii="宋体" w:hAnsi="宋体"/>
          <w:color w:val="auto"/>
          <w:szCs w:val="21"/>
        </w:rPr>
        <w:t>联系</w:t>
      </w:r>
      <w:r>
        <w:rPr>
          <w:rFonts w:ascii="宋体" w:hAnsi="宋体"/>
          <w:color w:val="auto"/>
          <w:szCs w:val="21"/>
        </w:rPr>
        <w:t>电话：</w:t>
      </w:r>
      <w:r>
        <w:rPr>
          <w:rFonts w:hint="eastAsia" w:ascii="宋体" w:hAnsi="宋体"/>
          <w:color w:val="auto"/>
          <w:szCs w:val="21"/>
        </w:rPr>
        <w:t>0751-8887218</w:t>
      </w:r>
    </w:p>
    <w:p w14:paraId="1F7BD918">
      <w:pPr>
        <w:snapToGrid w:val="0"/>
        <w:spacing w:line="360" w:lineRule="auto"/>
        <w:ind w:left="359" w:leftChars="171" w:firstLine="1"/>
        <w:rPr>
          <w:rFonts w:ascii="宋体" w:hAnsi="宋体"/>
          <w:color w:val="auto"/>
          <w:szCs w:val="21"/>
        </w:rPr>
      </w:pPr>
      <w:r>
        <w:rPr>
          <w:rFonts w:hint="eastAsia" w:ascii="宋体" w:hAnsi="宋体"/>
          <w:color w:val="auto"/>
          <w:szCs w:val="21"/>
        </w:rPr>
        <w:t xml:space="preserve"> 采购代理</w:t>
      </w:r>
      <w:r>
        <w:rPr>
          <w:rFonts w:ascii="宋体" w:hAnsi="宋体"/>
          <w:color w:val="auto"/>
          <w:szCs w:val="21"/>
        </w:rPr>
        <w:t>机构传真：</w:t>
      </w:r>
      <w:r>
        <w:rPr>
          <w:rFonts w:hint="eastAsia" w:ascii="宋体" w:hAnsi="宋体"/>
          <w:color w:val="auto"/>
          <w:szCs w:val="21"/>
        </w:rPr>
        <w:t>0751-6107200</w:t>
      </w:r>
    </w:p>
    <w:p w14:paraId="0FF2E40D">
      <w:pPr>
        <w:snapToGrid w:val="0"/>
        <w:spacing w:line="360" w:lineRule="auto"/>
        <w:ind w:left="359" w:leftChars="171" w:firstLine="105" w:firstLineChars="50"/>
        <w:rPr>
          <w:rFonts w:ascii="宋体" w:hAnsi="宋体"/>
          <w:color w:val="auto"/>
          <w:szCs w:val="21"/>
        </w:rPr>
      </w:pPr>
      <w:r>
        <w:rPr>
          <w:rFonts w:ascii="宋体" w:hAnsi="宋体"/>
          <w:color w:val="auto"/>
          <w:szCs w:val="21"/>
        </w:rPr>
        <w:t>E-mail</w:t>
      </w:r>
      <w:r>
        <w:rPr>
          <w:rFonts w:hint="eastAsia" w:ascii="宋体" w:hAnsi="宋体"/>
          <w:color w:val="auto"/>
          <w:szCs w:val="21"/>
        </w:rPr>
        <w:t>：</w:t>
      </w:r>
      <w:r>
        <w:rPr>
          <w:color w:val="auto"/>
        </w:rPr>
        <w:fldChar w:fldCharType="begin"/>
      </w:r>
      <w:r>
        <w:rPr>
          <w:color w:val="auto"/>
        </w:rPr>
        <w:instrText xml:space="preserve"> HYPERLINK "mailto:gdgpc@yahoo.com.cn" </w:instrText>
      </w:r>
      <w:r>
        <w:rPr>
          <w:color w:val="auto"/>
        </w:rPr>
        <w:fldChar w:fldCharType="separate"/>
      </w:r>
      <w:r>
        <w:rPr>
          <w:color w:val="auto"/>
        </w:rPr>
        <w:fldChar w:fldCharType="end"/>
      </w:r>
      <w:r>
        <w:rPr>
          <w:rFonts w:hint="eastAsia" w:ascii="宋体" w:hAnsi="宋体"/>
          <w:color w:val="auto"/>
          <w:szCs w:val="21"/>
        </w:rPr>
        <w:t>s</w:t>
      </w:r>
      <w:r>
        <w:rPr>
          <w:color w:val="auto"/>
        </w:rPr>
        <w:fldChar w:fldCharType="begin"/>
      </w:r>
      <w:r>
        <w:rPr>
          <w:color w:val="auto"/>
        </w:rPr>
        <w:instrText xml:space="preserve"> HYPERLINK "mailto:gzqunsheng@gzqunsheng.com" </w:instrText>
      </w:r>
      <w:r>
        <w:rPr>
          <w:color w:val="auto"/>
        </w:rPr>
        <w:fldChar w:fldCharType="separate"/>
      </w:r>
      <w:r>
        <w:rPr>
          <w:rFonts w:hint="eastAsia" w:ascii="宋体" w:hAnsi="宋体"/>
          <w:color w:val="auto"/>
          <w:szCs w:val="21"/>
        </w:rPr>
        <w:t>gqunsheng@163.com</w:t>
      </w:r>
      <w:r>
        <w:rPr>
          <w:rFonts w:hint="eastAsia" w:ascii="宋体" w:hAnsi="宋体"/>
          <w:color w:val="auto"/>
          <w:szCs w:val="21"/>
        </w:rPr>
        <w:fldChar w:fldCharType="end"/>
      </w:r>
    </w:p>
    <w:p w14:paraId="48CA036D">
      <w:pPr>
        <w:snapToGrid w:val="0"/>
        <w:spacing w:line="360" w:lineRule="auto"/>
        <w:ind w:left="359" w:leftChars="171" w:firstLine="1"/>
        <w:rPr>
          <w:rFonts w:hAnsi="宋体" w:cs="Tahoma"/>
          <w:color w:val="auto"/>
          <w:szCs w:val="21"/>
        </w:rPr>
      </w:pPr>
      <w:r>
        <w:rPr>
          <w:rFonts w:hint="eastAsia" w:ascii="宋体" w:hAnsi="宋体"/>
          <w:color w:val="auto"/>
          <w:szCs w:val="21"/>
        </w:rPr>
        <w:t xml:space="preserve"> 网址：http：//www.gzqunsheng.com</w:t>
      </w:r>
    </w:p>
    <w:p w14:paraId="2D1972DD">
      <w:pPr>
        <w:spacing w:line="360" w:lineRule="auto"/>
        <w:ind w:left="359" w:leftChars="171" w:firstLine="1"/>
        <w:rPr>
          <w:rFonts w:ascii="宋体" w:hAnsi="宋体"/>
          <w:color w:val="auto"/>
          <w:szCs w:val="21"/>
        </w:rPr>
      </w:pPr>
      <w:r>
        <w:rPr>
          <w:rFonts w:ascii="宋体" w:hAnsi="宋体"/>
          <w:color w:val="auto"/>
          <w:szCs w:val="21"/>
        </w:rPr>
        <w:t xml:space="preserve">                                    </w:t>
      </w:r>
    </w:p>
    <w:p w14:paraId="12091308">
      <w:pPr>
        <w:spacing w:line="360" w:lineRule="auto"/>
        <w:jc w:val="right"/>
        <w:rPr>
          <w:rFonts w:hint="eastAsia" w:ascii="宋体" w:hAnsi="宋体" w:eastAsia="宋体"/>
          <w:color w:val="auto"/>
          <w:sz w:val="24"/>
          <w:szCs w:val="24"/>
          <w:lang w:eastAsia="zh-CN"/>
        </w:rPr>
      </w:pPr>
      <w:r>
        <w:rPr>
          <w:rFonts w:ascii="宋体" w:hAnsi="宋体"/>
          <w:color w:val="auto"/>
          <w:szCs w:val="21"/>
        </w:rPr>
        <w:t xml:space="preserve">  </w:t>
      </w:r>
      <w:r>
        <w:rPr>
          <w:rFonts w:hint="eastAsia" w:ascii="宋体" w:hAnsi="宋体"/>
          <w:color w:val="auto"/>
          <w:szCs w:val="21"/>
          <w:lang w:eastAsia="zh-CN"/>
        </w:rPr>
        <w:t>广州群生招标代理有限公司韶关分公司</w:t>
      </w:r>
    </w:p>
    <w:p w14:paraId="3497CA22">
      <w:pPr>
        <w:spacing w:line="360" w:lineRule="auto"/>
        <w:jc w:val="center"/>
        <w:rPr>
          <w:color w:val="auto"/>
        </w:rPr>
      </w:pPr>
      <w:r>
        <w:rPr>
          <w:rFonts w:hint="eastAsia"/>
          <w:color w:val="auto"/>
        </w:rPr>
        <w:br w:type="page"/>
      </w:r>
    </w:p>
    <w:p w14:paraId="3634F9C4">
      <w:pPr>
        <w:pStyle w:val="2"/>
        <w:spacing w:line="360" w:lineRule="auto"/>
        <w:jc w:val="center"/>
        <w:rPr>
          <w:rFonts w:ascii="宋体" w:hAnsi="宋体"/>
          <w:color w:val="auto"/>
          <w:sz w:val="32"/>
          <w:szCs w:val="32"/>
        </w:rPr>
      </w:pPr>
      <w:r>
        <w:rPr>
          <w:rFonts w:hint="eastAsia" w:ascii="宋体" w:hAnsi="宋体"/>
          <w:color w:val="auto"/>
          <w:sz w:val="32"/>
          <w:szCs w:val="32"/>
        </w:rPr>
        <w:t>第二章</w:t>
      </w:r>
      <w:bookmarkStart w:id="13" w:name="_Toc10525515"/>
      <w:r>
        <w:rPr>
          <w:rFonts w:hint="eastAsia" w:ascii="宋体" w:hAnsi="宋体"/>
          <w:color w:val="auto"/>
          <w:sz w:val="32"/>
          <w:szCs w:val="32"/>
        </w:rPr>
        <w:t xml:space="preserve"> 响应供应商须知</w:t>
      </w:r>
      <w:bookmarkEnd w:id="11"/>
      <w:bookmarkEnd w:id="12"/>
      <w:bookmarkEnd w:id="13"/>
    </w:p>
    <w:p w14:paraId="492F3BCE">
      <w:pPr>
        <w:pStyle w:val="4"/>
        <w:numPr>
          <w:ilvl w:val="0"/>
          <w:numId w:val="3"/>
        </w:numPr>
        <w:autoSpaceDE/>
        <w:autoSpaceDN/>
        <w:adjustRightInd/>
        <w:spacing w:before="260"/>
        <w:textAlignment w:val="auto"/>
        <w:rPr>
          <w:bCs/>
          <w:color w:val="auto"/>
          <w:sz w:val="21"/>
          <w:szCs w:val="21"/>
        </w:rPr>
      </w:pPr>
      <w:bookmarkStart w:id="14" w:name="_Toc56846630"/>
      <w:bookmarkStart w:id="15" w:name="_Toc56851223"/>
      <w:bookmarkStart w:id="16" w:name="_Toc52288201"/>
      <w:bookmarkStart w:id="17" w:name="_Toc56855648"/>
      <w:bookmarkStart w:id="18" w:name="_Toc52270232"/>
      <w:bookmarkStart w:id="19" w:name="_Toc56938696"/>
      <w:bookmarkStart w:id="20" w:name="_Toc56855616"/>
      <w:r>
        <w:rPr>
          <w:rFonts w:hint="eastAsia"/>
          <w:bCs/>
          <w:color w:val="auto"/>
          <w:sz w:val="21"/>
          <w:szCs w:val="21"/>
        </w:rPr>
        <w:t>总体说明</w:t>
      </w:r>
      <w:bookmarkEnd w:id="14"/>
      <w:bookmarkEnd w:id="15"/>
      <w:bookmarkEnd w:id="16"/>
      <w:bookmarkEnd w:id="17"/>
      <w:bookmarkEnd w:id="18"/>
      <w:bookmarkEnd w:id="19"/>
      <w:bookmarkEnd w:id="20"/>
    </w:p>
    <w:p w14:paraId="366C6C44">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资金来源</w:t>
      </w:r>
    </w:p>
    <w:p w14:paraId="1FA0E7DC">
      <w:pPr>
        <w:snapToGrid w:val="0"/>
        <w:spacing w:line="360" w:lineRule="auto"/>
        <w:ind w:firstLine="420" w:firstLineChars="200"/>
        <w:rPr>
          <w:rFonts w:ascii="宋体" w:hAnsi="宋体"/>
          <w:bCs/>
          <w:color w:val="auto"/>
          <w:szCs w:val="21"/>
        </w:rPr>
      </w:pPr>
      <w:r>
        <w:rPr>
          <w:rFonts w:hint="eastAsia" w:ascii="宋体" w:hAnsi="宋体"/>
          <w:bCs/>
          <w:color w:val="auto"/>
          <w:szCs w:val="21"/>
          <w:lang w:val="en-US" w:eastAsia="zh-CN"/>
        </w:rPr>
        <w:t>自筹资金</w:t>
      </w:r>
      <w:r>
        <w:rPr>
          <w:rFonts w:hint="eastAsia" w:ascii="宋体" w:hAnsi="宋体"/>
          <w:bCs/>
          <w:color w:val="auto"/>
          <w:szCs w:val="21"/>
        </w:rPr>
        <w:t>。</w:t>
      </w:r>
    </w:p>
    <w:p w14:paraId="5F20DA19">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适用范围</w:t>
      </w:r>
    </w:p>
    <w:p w14:paraId="39D235B6">
      <w:pPr>
        <w:snapToGrid w:val="0"/>
        <w:spacing w:line="360" w:lineRule="auto"/>
        <w:ind w:firstLine="420" w:firstLineChars="200"/>
        <w:rPr>
          <w:rFonts w:ascii="宋体" w:hAnsi="宋体"/>
          <w:bCs/>
          <w:color w:val="auto"/>
          <w:szCs w:val="21"/>
        </w:rPr>
      </w:pPr>
      <w:r>
        <w:rPr>
          <w:rFonts w:hint="eastAsia" w:ascii="宋体" w:hAnsi="宋体"/>
          <w:bCs/>
          <w:color w:val="auto"/>
          <w:szCs w:val="21"/>
        </w:rPr>
        <w:t>本项目仅适用于本磋商文件所述的</w:t>
      </w:r>
      <w:r>
        <w:rPr>
          <w:rFonts w:hint="eastAsia" w:ascii="宋体" w:hAnsi="宋体" w:cs="Tahoma"/>
          <w:color w:val="auto"/>
          <w:szCs w:val="21"/>
        </w:rPr>
        <w:t>报价内容</w:t>
      </w:r>
      <w:r>
        <w:rPr>
          <w:rFonts w:hint="eastAsia" w:ascii="宋体" w:hAnsi="宋体"/>
          <w:bCs/>
          <w:color w:val="auto"/>
          <w:szCs w:val="21"/>
        </w:rPr>
        <w:t>。</w:t>
      </w:r>
    </w:p>
    <w:p w14:paraId="34F0A111">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合格的响应供应商</w:t>
      </w:r>
    </w:p>
    <w:p w14:paraId="1AEBBDE7">
      <w:pPr>
        <w:tabs>
          <w:tab w:val="left" w:pos="1164"/>
        </w:tabs>
        <w:snapToGrid w:val="0"/>
        <w:spacing w:line="360" w:lineRule="auto"/>
        <w:rPr>
          <w:rFonts w:ascii="宋体" w:hAnsi="宋体"/>
          <w:color w:val="auto"/>
          <w:szCs w:val="21"/>
        </w:rPr>
      </w:pPr>
      <w:r>
        <w:rPr>
          <w:rFonts w:hint="eastAsia" w:ascii="宋体" w:hAnsi="宋体"/>
          <w:color w:val="auto"/>
          <w:szCs w:val="21"/>
        </w:rPr>
        <w:t>1.4.1具有符合磋商邀请中合格响应供应商资格要求及实质性要求；</w:t>
      </w:r>
    </w:p>
    <w:p w14:paraId="684AA76F">
      <w:pPr>
        <w:tabs>
          <w:tab w:val="left" w:pos="1164"/>
        </w:tabs>
        <w:snapToGrid w:val="0"/>
        <w:spacing w:line="360" w:lineRule="auto"/>
        <w:rPr>
          <w:rFonts w:ascii="宋体" w:hAnsi="宋体"/>
          <w:color w:val="auto"/>
          <w:szCs w:val="21"/>
        </w:rPr>
      </w:pPr>
      <w:r>
        <w:rPr>
          <w:rFonts w:hint="eastAsia" w:ascii="宋体" w:hAnsi="宋体"/>
          <w:color w:val="auto"/>
          <w:szCs w:val="21"/>
        </w:rPr>
        <w:t>1.4.2已在本项目报名及购买磋商文件的响应供应商。</w:t>
      </w:r>
    </w:p>
    <w:p w14:paraId="4F24D699">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响应供应商应承担所有参与本次报价的全部费用。</w:t>
      </w:r>
    </w:p>
    <w:p w14:paraId="57398AC7">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合格的货物和服务</w:t>
      </w:r>
    </w:p>
    <w:p w14:paraId="5FCF0E0D">
      <w:pPr>
        <w:tabs>
          <w:tab w:val="left" w:pos="1164"/>
          <w:tab w:val="left" w:pos="2160"/>
        </w:tabs>
        <w:snapToGrid w:val="0"/>
        <w:spacing w:line="360" w:lineRule="auto"/>
        <w:rPr>
          <w:rFonts w:ascii="宋体" w:hAnsi="宋体"/>
          <w:color w:val="auto"/>
          <w:szCs w:val="21"/>
        </w:rPr>
      </w:pPr>
      <w:r>
        <w:rPr>
          <w:rFonts w:hint="eastAsia" w:ascii="宋体" w:hAnsi="宋体"/>
          <w:color w:val="auto"/>
          <w:szCs w:val="21"/>
        </w:rPr>
        <w:t>1.6.1响应供应商提供的所有服务（含提供服务所需的设备、货物、产品及有关材料），其来源均应符合《中华人民共和国政府采购法》等相关法律法规的规定。</w:t>
      </w:r>
    </w:p>
    <w:p w14:paraId="713E57E4">
      <w:pPr>
        <w:tabs>
          <w:tab w:val="left" w:pos="1164"/>
          <w:tab w:val="left" w:pos="2160"/>
        </w:tabs>
        <w:snapToGrid w:val="0"/>
        <w:spacing w:line="360" w:lineRule="auto"/>
        <w:rPr>
          <w:rFonts w:ascii="宋体" w:hAnsi="宋体"/>
          <w:color w:val="auto"/>
          <w:szCs w:val="21"/>
        </w:rPr>
      </w:pPr>
      <w:r>
        <w:rPr>
          <w:rFonts w:hint="eastAsia" w:ascii="宋体" w:hAnsi="宋体"/>
          <w:color w:val="auto"/>
          <w:szCs w:val="21"/>
        </w:rPr>
        <w:t>1.6.2如本项目服务中包含货物采购的，采购本国产品。</w:t>
      </w:r>
    </w:p>
    <w:p w14:paraId="34596D6C">
      <w:pPr>
        <w:snapToGrid w:val="0"/>
        <w:spacing w:line="360" w:lineRule="auto"/>
        <w:rPr>
          <w:rFonts w:ascii="宋体" w:hAnsi="宋体"/>
          <w:b/>
          <w:bCs/>
          <w:color w:val="auto"/>
          <w:szCs w:val="21"/>
        </w:rPr>
      </w:pPr>
      <w:r>
        <w:rPr>
          <w:rFonts w:hint="eastAsia" w:ascii="宋体" w:hAnsi="宋体"/>
          <w:color w:val="auto"/>
          <w:szCs w:val="21"/>
        </w:rPr>
        <w:t>1.6.3采购人将拒绝接受不合格的货物和服务。</w:t>
      </w:r>
    </w:p>
    <w:p w14:paraId="5BBC2163">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定义</w:t>
      </w:r>
    </w:p>
    <w:p w14:paraId="0F0BD170">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“采购人”系指磋商邀请中所指采购人，亦指业主。</w:t>
      </w:r>
    </w:p>
    <w:p w14:paraId="7F53B542">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“业主/用户”系指本项目的采购人或采购人指定的最终使用单位。</w:t>
      </w:r>
    </w:p>
    <w:p w14:paraId="72BFDB15">
      <w:pPr>
        <w:numPr>
          <w:ilvl w:val="2"/>
          <w:numId w:val="3"/>
        </w:numPr>
        <w:tabs>
          <w:tab w:val="left" w:pos="720"/>
        </w:tabs>
        <w:snapToGrid w:val="0"/>
        <w:spacing w:line="360" w:lineRule="auto"/>
        <w:ind w:left="720" w:hanging="720"/>
        <w:rPr>
          <w:rFonts w:ascii="宋体" w:hAnsi="宋体"/>
          <w:color w:val="auto"/>
          <w:szCs w:val="21"/>
        </w:rPr>
      </w:pPr>
      <w:r>
        <w:rPr>
          <w:rFonts w:ascii="宋体" w:hAnsi="宋体"/>
          <w:color w:val="auto"/>
          <w:szCs w:val="21"/>
        </w:rPr>
        <w:t>“</w:t>
      </w:r>
      <w:r>
        <w:rPr>
          <w:rFonts w:hint="eastAsia" w:ascii="宋体" w:hAnsi="宋体"/>
          <w:color w:val="auto"/>
          <w:szCs w:val="21"/>
        </w:rPr>
        <w:t>采购代理机构</w:t>
      </w:r>
      <w:r>
        <w:rPr>
          <w:rFonts w:ascii="宋体" w:hAnsi="宋体"/>
          <w:color w:val="auto"/>
          <w:szCs w:val="21"/>
        </w:rPr>
        <w:t>”</w:t>
      </w:r>
      <w:r>
        <w:rPr>
          <w:rFonts w:hint="eastAsia" w:ascii="宋体" w:hAnsi="宋体"/>
          <w:color w:val="auto"/>
          <w:szCs w:val="21"/>
        </w:rPr>
        <w:t>系指</w:t>
      </w:r>
      <w:r>
        <w:rPr>
          <w:rFonts w:hint="eastAsia" w:ascii="宋体" w:hAnsi="宋体"/>
          <w:color w:val="auto"/>
          <w:szCs w:val="21"/>
          <w:lang w:eastAsia="zh-CN"/>
        </w:rPr>
        <w:t>广州群生招标代理有限公司韶关分公司</w:t>
      </w:r>
      <w:r>
        <w:rPr>
          <w:rFonts w:hint="eastAsia" w:ascii="宋体" w:hAnsi="宋体"/>
          <w:color w:val="auto"/>
          <w:szCs w:val="21"/>
        </w:rPr>
        <w:t>。</w:t>
      </w:r>
    </w:p>
    <w:p w14:paraId="36FDA3D0">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“响应供应商”系指向采购代理机构提交报价响应文件的供应商。</w:t>
      </w:r>
    </w:p>
    <w:p w14:paraId="2A7B4ABA">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“报价文件”、“报价响应文件”系指响应供应商提交的响应本次项目的响应文件。</w:t>
      </w:r>
    </w:p>
    <w:p w14:paraId="63324C07">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“甲方”系指采购人或采购人指定的最终使用单位。</w:t>
      </w:r>
    </w:p>
    <w:p w14:paraId="21011E2A">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“乙方”系指成交供应商。</w:t>
      </w:r>
    </w:p>
    <w:p w14:paraId="0EA826B1">
      <w:pPr>
        <w:numPr>
          <w:ilvl w:val="2"/>
          <w:numId w:val="3"/>
        </w:numPr>
        <w:tabs>
          <w:tab w:val="left" w:pos="180"/>
          <w:tab w:val="left" w:pos="540"/>
        </w:tabs>
        <w:snapToGrid w:val="0"/>
        <w:spacing w:line="360" w:lineRule="auto"/>
        <w:rPr>
          <w:rFonts w:ascii="宋体" w:hAnsi="宋体"/>
          <w:bCs/>
          <w:color w:val="auto"/>
          <w:szCs w:val="21"/>
        </w:rPr>
      </w:pPr>
      <w:r>
        <w:rPr>
          <w:rFonts w:hint="eastAsia" w:ascii="宋体" w:hAnsi="宋体"/>
          <w:bCs/>
          <w:color w:val="auto"/>
          <w:szCs w:val="21"/>
        </w:rPr>
        <w:t>“日期”指公历日,“时间”指北京时间，24小时制。</w:t>
      </w:r>
    </w:p>
    <w:p w14:paraId="118A5B42">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“服务”系指磋商文件规定供应商须承担的相关服务。</w:t>
      </w:r>
    </w:p>
    <w:p w14:paraId="0686865F">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“书面形式”系指纸质文件形式，除非特别说明，不包含电子邮件、手机短信等非纸质形式。</w:t>
      </w:r>
    </w:p>
    <w:p w14:paraId="402F4BB8">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“不可抗力”系指战争、严重火灾、洪水、台风、地震等或其他采购人（或采购人指定的最终使用单位）、双方认定的不可抗力事件。</w:t>
      </w:r>
    </w:p>
    <w:p w14:paraId="58584615">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bCs/>
          <w:color w:val="auto"/>
          <w:szCs w:val="21"/>
        </w:rPr>
        <w:t>“实质性响应”系指符合磋商文件实质性要求、条款、条件和规定，且没有重大偏离或保留。重大偏离或保留指影响到磋商文件规定的范围、质量和性能，或限制采购人的权</w:t>
      </w:r>
      <w:r>
        <w:rPr>
          <w:rFonts w:hint="eastAsia" w:ascii="宋体" w:hAnsi="宋体"/>
          <w:color w:val="auto"/>
          <w:szCs w:val="21"/>
        </w:rPr>
        <w:t>利和响应供应商的义务的规定，而纠正这些偏离将影响到其他递交实质性响应</w:t>
      </w:r>
      <w:r>
        <w:rPr>
          <w:rFonts w:hint="eastAsia" w:ascii="宋体" w:hAnsi="宋体"/>
          <w:bCs/>
          <w:color w:val="auto"/>
          <w:szCs w:val="21"/>
        </w:rPr>
        <w:t>磋商文件</w:t>
      </w:r>
      <w:r>
        <w:rPr>
          <w:rFonts w:hint="eastAsia" w:ascii="宋体" w:hAnsi="宋体"/>
          <w:color w:val="auto"/>
          <w:szCs w:val="21"/>
        </w:rPr>
        <w:t>的响应供应商的公平竞争地位。</w:t>
      </w:r>
    </w:p>
    <w:p w14:paraId="5801FBF2">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磋商文件中的标题或题名仅起引导作用，而不应该作为对磋商文件内容的理解或解释。</w:t>
      </w:r>
    </w:p>
    <w:p w14:paraId="4B6B21C3">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知识产权</w:t>
      </w:r>
    </w:p>
    <w:p w14:paraId="56A1FA00">
      <w:pPr>
        <w:numPr>
          <w:ilvl w:val="2"/>
          <w:numId w:val="3"/>
        </w:numPr>
        <w:tabs>
          <w:tab w:val="left" w:pos="720"/>
        </w:tabs>
        <w:snapToGrid w:val="0"/>
        <w:spacing w:line="360" w:lineRule="auto"/>
        <w:ind w:left="720" w:hanging="720"/>
        <w:rPr>
          <w:rFonts w:ascii="宋体" w:hAnsi="宋体"/>
          <w:b/>
          <w:bCs/>
          <w:color w:val="auto"/>
          <w:szCs w:val="21"/>
        </w:rPr>
      </w:pPr>
      <w:r>
        <w:rPr>
          <w:rFonts w:hint="eastAsia" w:ascii="宋体" w:hAnsi="宋体"/>
          <w:color w:val="auto"/>
          <w:szCs w:val="21"/>
          <w:lang w:val="en-GB"/>
        </w:rPr>
        <w:t>响应供应商必须保证，采购人在中华人民共和国境内使用报价货物、资料、技术、服务或其任何一部分时，享有不受限制的无偿使用权，不会产生因第三方提出侵犯其专利权、商标权或其它知识产权而引起的法律或经济纠纷。如响应供应商不拥有相应的知识产权，则应由响应供应商负责获得并提供给采购人使用，其报价中必须包括合法获取该知识产权的一切相关费用，如响应供应商没有单独列出的，视为已包含在相应报价中</w:t>
      </w:r>
      <w:r>
        <w:rPr>
          <w:rFonts w:hint="eastAsia" w:ascii="宋体" w:hAnsi="宋体"/>
          <w:color w:val="auto"/>
          <w:szCs w:val="21"/>
        </w:rPr>
        <w:t>。一旦使用响应供应商提供的产品或服务，采购人不再</w:t>
      </w:r>
      <w:r>
        <w:rPr>
          <w:rFonts w:hint="eastAsia" w:ascii="宋体" w:hAnsi="宋体"/>
          <w:color w:val="auto"/>
          <w:szCs w:val="21"/>
          <w:lang w:val="en-GB"/>
        </w:rPr>
        <w:t>承担第三方提出侵犯其专利权、商标权或其它知识产权而引起的法律或经济纠纷。</w:t>
      </w:r>
    </w:p>
    <w:p w14:paraId="2F3EBA11">
      <w:pPr>
        <w:numPr>
          <w:ilvl w:val="1"/>
          <w:numId w:val="3"/>
        </w:numPr>
        <w:snapToGrid w:val="0"/>
        <w:spacing w:line="360" w:lineRule="auto"/>
        <w:rPr>
          <w:rFonts w:ascii="宋体" w:hAnsi="宋体"/>
          <w:b/>
          <w:bCs/>
          <w:color w:val="auto"/>
          <w:szCs w:val="21"/>
        </w:rPr>
      </w:pPr>
      <w:r>
        <w:rPr>
          <w:rFonts w:ascii="宋体" w:hAnsi="宋体"/>
          <w:b/>
          <w:bCs/>
          <w:color w:val="auto"/>
          <w:szCs w:val="21"/>
        </w:rPr>
        <w:t>联合体</w:t>
      </w:r>
      <w:r>
        <w:rPr>
          <w:rFonts w:hint="eastAsia" w:ascii="宋体" w:hAnsi="宋体"/>
          <w:b/>
          <w:bCs/>
          <w:color w:val="auto"/>
          <w:szCs w:val="21"/>
        </w:rPr>
        <w:t>报价（本项目不适用）</w:t>
      </w:r>
    </w:p>
    <w:p w14:paraId="39D8EA2F">
      <w:pPr>
        <w:tabs>
          <w:tab w:val="left" w:pos="1674"/>
        </w:tabs>
        <w:snapToGrid w:val="0"/>
        <w:spacing w:line="360" w:lineRule="auto"/>
        <w:ind w:left="735" w:hanging="735" w:hangingChars="350"/>
        <w:rPr>
          <w:rFonts w:ascii="宋体" w:hAnsi="宋体"/>
          <w:bCs/>
          <w:color w:val="auto"/>
          <w:szCs w:val="21"/>
        </w:rPr>
      </w:pPr>
      <w:r>
        <w:rPr>
          <w:rFonts w:ascii="宋体" w:hAnsi="宋体"/>
          <w:bCs/>
          <w:color w:val="auto"/>
          <w:szCs w:val="21"/>
        </w:rPr>
        <w:t>对接受联合体</w:t>
      </w:r>
      <w:r>
        <w:rPr>
          <w:rFonts w:hint="eastAsia" w:ascii="宋体" w:hAnsi="宋体"/>
          <w:bCs/>
          <w:color w:val="auto"/>
          <w:szCs w:val="21"/>
        </w:rPr>
        <w:t>报价</w:t>
      </w:r>
      <w:r>
        <w:rPr>
          <w:rFonts w:ascii="宋体" w:hAnsi="宋体"/>
          <w:bCs/>
          <w:color w:val="auto"/>
          <w:szCs w:val="21"/>
        </w:rPr>
        <w:t>的项目：</w:t>
      </w:r>
    </w:p>
    <w:p w14:paraId="00489C80">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 xml:space="preserve"> 两个以上供应商可以组成一个</w:t>
      </w:r>
      <w:r>
        <w:rPr>
          <w:rFonts w:hint="eastAsia" w:ascii="宋体" w:hAnsi="宋体"/>
          <w:bCs/>
          <w:color w:val="auto"/>
          <w:szCs w:val="21"/>
        </w:rPr>
        <w:t>报价</w:t>
      </w:r>
      <w:r>
        <w:rPr>
          <w:rFonts w:ascii="宋体" w:hAnsi="宋体"/>
          <w:bCs/>
          <w:color w:val="auto"/>
          <w:szCs w:val="21"/>
        </w:rPr>
        <w:t>联合体，以一个</w:t>
      </w:r>
      <w:r>
        <w:rPr>
          <w:rFonts w:hint="eastAsia" w:ascii="宋体" w:hAnsi="宋体"/>
          <w:bCs/>
          <w:color w:val="auto"/>
          <w:szCs w:val="21"/>
        </w:rPr>
        <w:t>响应供应商</w:t>
      </w:r>
      <w:r>
        <w:rPr>
          <w:rFonts w:ascii="宋体" w:hAnsi="宋体"/>
          <w:bCs/>
          <w:color w:val="auto"/>
          <w:szCs w:val="21"/>
        </w:rPr>
        <w:t>的身份</w:t>
      </w:r>
      <w:r>
        <w:rPr>
          <w:rFonts w:hint="eastAsia" w:ascii="宋体" w:hAnsi="宋体"/>
          <w:bCs/>
          <w:color w:val="auto"/>
          <w:szCs w:val="21"/>
        </w:rPr>
        <w:t>报价</w:t>
      </w:r>
      <w:r>
        <w:rPr>
          <w:rFonts w:ascii="宋体" w:hAnsi="宋体"/>
          <w:bCs/>
          <w:color w:val="auto"/>
          <w:szCs w:val="21"/>
        </w:rPr>
        <w:t>。</w:t>
      </w:r>
    </w:p>
    <w:p w14:paraId="1ABD9D59">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联合体各方均应当符合《政府采购法》第二十二条第一款规定的条件，根据采购项目的特殊要求规定</w:t>
      </w:r>
      <w:r>
        <w:rPr>
          <w:rFonts w:hint="eastAsia" w:ascii="宋体" w:hAnsi="宋体"/>
          <w:bCs/>
          <w:color w:val="auto"/>
          <w:szCs w:val="21"/>
        </w:rPr>
        <w:t>响应供应商</w:t>
      </w:r>
      <w:r>
        <w:rPr>
          <w:rFonts w:ascii="宋体" w:hAnsi="宋体"/>
          <w:bCs/>
          <w:color w:val="auto"/>
          <w:szCs w:val="21"/>
        </w:rPr>
        <w:t>特定条件的，联合体各方</w:t>
      </w:r>
      <w:r>
        <w:rPr>
          <w:rFonts w:hint="eastAsia" w:ascii="宋体" w:hAnsi="宋体"/>
          <w:bCs/>
          <w:color w:val="auto"/>
          <w:szCs w:val="21"/>
        </w:rPr>
        <w:t>或按本项目要求各方</w:t>
      </w:r>
      <w:r>
        <w:rPr>
          <w:rFonts w:ascii="宋体" w:hAnsi="宋体"/>
          <w:bCs/>
          <w:color w:val="auto"/>
          <w:szCs w:val="21"/>
        </w:rPr>
        <w:t>中至少应当有一方符合采购人规定的特定条件。</w:t>
      </w:r>
    </w:p>
    <w:p w14:paraId="44066610">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联合体</w:t>
      </w:r>
      <w:r>
        <w:rPr>
          <w:rFonts w:hint="eastAsia" w:ascii="宋体" w:hAnsi="宋体"/>
          <w:bCs/>
          <w:color w:val="auto"/>
          <w:szCs w:val="21"/>
        </w:rPr>
        <w:t>报价</w:t>
      </w:r>
      <w:r>
        <w:rPr>
          <w:rFonts w:ascii="宋体" w:hAnsi="宋体"/>
          <w:bCs/>
          <w:color w:val="auto"/>
          <w:szCs w:val="21"/>
        </w:rPr>
        <w:t>的，应以主体方名义提交</w:t>
      </w:r>
      <w:r>
        <w:rPr>
          <w:rFonts w:hint="eastAsia" w:ascii="宋体" w:hAnsi="宋体"/>
          <w:bCs/>
          <w:color w:val="auto"/>
          <w:szCs w:val="21"/>
        </w:rPr>
        <w:t>报价</w:t>
      </w:r>
      <w:r>
        <w:rPr>
          <w:rFonts w:ascii="宋体" w:hAnsi="宋体"/>
          <w:bCs/>
          <w:color w:val="auto"/>
          <w:szCs w:val="21"/>
        </w:rPr>
        <w:t>保证金，对联合体各方均具有约束力。</w:t>
      </w:r>
    </w:p>
    <w:p w14:paraId="06F5D222">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联合体各方之间应当签订共同</w:t>
      </w:r>
      <w:r>
        <w:rPr>
          <w:rFonts w:hint="eastAsia" w:ascii="宋体" w:hAnsi="宋体"/>
          <w:bCs/>
          <w:color w:val="auto"/>
          <w:szCs w:val="21"/>
        </w:rPr>
        <w:t>报价</w:t>
      </w:r>
      <w:r>
        <w:rPr>
          <w:rFonts w:ascii="宋体" w:hAnsi="宋体"/>
          <w:bCs/>
          <w:color w:val="auto"/>
          <w:szCs w:val="21"/>
        </w:rPr>
        <w:t>协议并在</w:t>
      </w:r>
      <w:r>
        <w:rPr>
          <w:rFonts w:hint="eastAsia" w:ascii="宋体" w:hAnsi="宋体"/>
          <w:bCs/>
          <w:color w:val="auto"/>
          <w:szCs w:val="21"/>
        </w:rPr>
        <w:t>报价</w:t>
      </w:r>
      <w:r>
        <w:rPr>
          <w:rFonts w:ascii="宋体" w:hAnsi="宋体"/>
          <w:bCs/>
          <w:color w:val="auto"/>
          <w:szCs w:val="21"/>
        </w:rPr>
        <w:t>文件内提交，明确约定联合体各方承担的工作和相应的责任。联合体各方签订共同</w:t>
      </w:r>
      <w:r>
        <w:rPr>
          <w:rFonts w:hint="eastAsia" w:ascii="宋体" w:hAnsi="宋体"/>
          <w:bCs/>
          <w:color w:val="auto"/>
          <w:szCs w:val="21"/>
        </w:rPr>
        <w:t>报价</w:t>
      </w:r>
      <w:r>
        <w:rPr>
          <w:rFonts w:ascii="宋体" w:hAnsi="宋体"/>
          <w:bCs/>
          <w:color w:val="auto"/>
          <w:szCs w:val="21"/>
        </w:rPr>
        <w:t>协议后，不得再以自己名义单独在同一项目中</w:t>
      </w:r>
      <w:r>
        <w:rPr>
          <w:rFonts w:hint="eastAsia" w:ascii="宋体" w:hAnsi="宋体"/>
          <w:bCs/>
          <w:color w:val="auto"/>
          <w:szCs w:val="21"/>
        </w:rPr>
        <w:t>报价</w:t>
      </w:r>
      <w:r>
        <w:rPr>
          <w:rFonts w:ascii="宋体" w:hAnsi="宋体"/>
          <w:bCs/>
          <w:color w:val="auto"/>
          <w:szCs w:val="21"/>
        </w:rPr>
        <w:t>，也不得组成新的联合体参加同一项目</w:t>
      </w:r>
      <w:r>
        <w:rPr>
          <w:rFonts w:hint="eastAsia" w:ascii="宋体" w:hAnsi="宋体"/>
          <w:bCs/>
          <w:color w:val="auto"/>
          <w:szCs w:val="21"/>
        </w:rPr>
        <w:t>报价</w:t>
      </w:r>
      <w:r>
        <w:rPr>
          <w:rFonts w:ascii="宋体" w:hAnsi="宋体"/>
          <w:bCs/>
          <w:color w:val="auto"/>
          <w:szCs w:val="21"/>
        </w:rPr>
        <w:t>。</w:t>
      </w:r>
    </w:p>
    <w:p w14:paraId="664B2B76">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联合体中有同类资质的供应商按照联合体分工承担相同工作的，应当按照资质等级较低的供应商确定资质等级。</w:t>
      </w:r>
    </w:p>
    <w:p w14:paraId="1A9749DD">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 xml:space="preserve"> 关联企业</w:t>
      </w:r>
    </w:p>
    <w:p w14:paraId="443C87B7">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除联合体外，法定代表人或单位负责人为同一个人或者存在直接控股、管理关系的不同供应商，不得同时参加同一项目或同一子</w:t>
      </w:r>
      <w:r>
        <w:rPr>
          <w:rFonts w:hint="eastAsia" w:ascii="宋体" w:hAnsi="宋体"/>
          <w:bCs/>
          <w:color w:val="auto"/>
          <w:szCs w:val="21"/>
        </w:rPr>
        <w:t>包（子项、标段等）</w:t>
      </w:r>
      <w:r>
        <w:rPr>
          <w:rFonts w:ascii="宋体" w:hAnsi="宋体"/>
          <w:bCs/>
          <w:color w:val="auto"/>
          <w:szCs w:val="21"/>
        </w:rPr>
        <w:t>的</w:t>
      </w:r>
      <w:r>
        <w:rPr>
          <w:rFonts w:hint="eastAsia" w:ascii="宋体" w:hAnsi="宋体"/>
          <w:bCs/>
          <w:color w:val="auto"/>
          <w:szCs w:val="21"/>
        </w:rPr>
        <w:t>报价</w:t>
      </w:r>
      <w:r>
        <w:rPr>
          <w:rFonts w:ascii="宋体" w:hAnsi="宋体"/>
          <w:bCs/>
          <w:color w:val="auto"/>
          <w:szCs w:val="21"/>
        </w:rPr>
        <w:t>。如同时参加，则评审时将同时被拒绝。</w:t>
      </w:r>
    </w:p>
    <w:p w14:paraId="6DE05996">
      <w:pPr>
        <w:numPr>
          <w:ilvl w:val="2"/>
          <w:numId w:val="3"/>
        </w:numPr>
        <w:tabs>
          <w:tab w:val="left" w:pos="720"/>
        </w:tabs>
        <w:snapToGrid w:val="0"/>
        <w:spacing w:line="360" w:lineRule="auto"/>
        <w:ind w:left="720" w:hanging="720"/>
        <w:rPr>
          <w:rFonts w:ascii="宋体" w:hAnsi="宋体"/>
          <w:bCs/>
          <w:color w:val="auto"/>
          <w:szCs w:val="21"/>
        </w:rPr>
      </w:pPr>
      <w:r>
        <w:rPr>
          <w:rFonts w:hint="eastAsia" w:ascii="宋体" w:hAnsi="宋体"/>
          <w:bCs/>
          <w:color w:val="auto"/>
          <w:szCs w:val="21"/>
        </w:rPr>
        <w:t>同一响应供应商授权不同的人员参与同一项目或</w:t>
      </w:r>
      <w:r>
        <w:rPr>
          <w:rFonts w:ascii="宋体" w:hAnsi="宋体"/>
          <w:bCs/>
          <w:color w:val="auto"/>
          <w:szCs w:val="21"/>
        </w:rPr>
        <w:t>同一子</w:t>
      </w:r>
      <w:r>
        <w:rPr>
          <w:rFonts w:hint="eastAsia" w:ascii="宋体" w:hAnsi="宋体"/>
          <w:bCs/>
          <w:color w:val="auto"/>
          <w:szCs w:val="21"/>
        </w:rPr>
        <w:t>包（子项、标段等）的报价，则评审时将同时被拒绝。</w:t>
      </w:r>
    </w:p>
    <w:p w14:paraId="3C67D6BC">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 xml:space="preserve">  </w:t>
      </w:r>
      <w:r>
        <w:rPr>
          <w:rFonts w:ascii="宋体" w:hAnsi="宋体"/>
          <w:b/>
          <w:bCs/>
          <w:color w:val="auto"/>
          <w:szCs w:val="21"/>
        </w:rPr>
        <w:t>提供前期服务的供应商</w:t>
      </w:r>
    </w:p>
    <w:p w14:paraId="5E859DA5">
      <w:pPr>
        <w:tabs>
          <w:tab w:val="left" w:pos="1674"/>
        </w:tabs>
        <w:snapToGrid w:val="0"/>
        <w:spacing w:line="360" w:lineRule="auto"/>
        <w:ind w:left="840" w:leftChars="400"/>
        <w:rPr>
          <w:rFonts w:ascii="宋体" w:hAnsi="宋体"/>
          <w:bCs/>
          <w:color w:val="auto"/>
          <w:szCs w:val="21"/>
        </w:rPr>
      </w:pPr>
      <w:r>
        <w:rPr>
          <w:rFonts w:ascii="宋体" w:hAnsi="宋体"/>
          <w:bCs/>
          <w:color w:val="auto"/>
          <w:szCs w:val="21"/>
        </w:rPr>
        <w:t>为采购项目提供整体设计、规范编制或者项目管理、监理、检测等服务的供应商，不得再参加</w:t>
      </w:r>
      <w:r>
        <w:rPr>
          <w:rFonts w:hint="eastAsia" w:ascii="宋体" w:hAnsi="宋体"/>
          <w:bCs/>
          <w:color w:val="auto"/>
          <w:szCs w:val="21"/>
        </w:rPr>
        <w:t>该采购项目的其他采购活动。</w:t>
      </w:r>
    </w:p>
    <w:p w14:paraId="59BF8349">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 xml:space="preserve">  </w:t>
      </w:r>
      <w:r>
        <w:rPr>
          <w:rFonts w:ascii="宋体" w:hAnsi="宋体"/>
          <w:b/>
          <w:bCs/>
          <w:color w:val="auto"/>
          <w:szCs w:val="21"/>
        </w:rPr>
        <w:t>须落实的政府采购政策</w:t>
      </w:r>
      <w:r>
        <w:rPr>
          <w:rFonts w:hint="eastAsia" w:ascii="宋体" w:hAnsi="宋体"/>
          <w:b/>
          <w:bCs/>
          <w:color w:val="auto"/>
          <w:szCs w:val="21"/>
          <w:lang w:eastAsia="zh-CN"/>
        </w:rPr>
        <w:t>（</w:t>
      </w:r>
      <w:r>
        <w:rPr>
          <w:rFonts w:hint="eastAsia" w:ascii="宋体" w:hAnsi="宋体"/>
          <w:b/>
          <w:bCs/>
          <w:color w:val="auto"/>
          <w:szCs w:val="21"/>
        </w:rPr>
        <w:t>本项目</w:t>
      </w:r>
      <w:r>
        <w:rPr>
          <w:rFonts w:hint="eastAsia" w:ascii="宋体" w:hAnsi="宋体"/>
          <w:b/>
          <w:bCs/>
          <w:color w:val="auto"/>
          <w:szCs w:val="21"/>
          <w:lang w:val="en-US" w:eastAsia="zh-CN"/>
        </w:rPr>
        <w:t>不适用</w:t>
      </w:r>
      <w:r>
        <w:rPr>
          <w:rFonts w:hint="eastAsia" w:ascii="宋体" w:hAnsi="宋体"/>
          <w:b/>
          <w:bCs/>
          <w:color w:val="auto"/>
          <w:szCs w:val="21"/>
          <w:lang w:eastAsia="zh-CN"/>
        </w:rPr>
        <w:t>）</w:t>
      </w:r>
    </w:p>
    <w:p w14:paraId="1502928A">
      <w:pPr>
        <w:numPr>
          <w:ilvl w:val="2"/>
          <w:numId w:val="3"/>
        </w:numPr>
        <w:tabs>
          <w:tab w:val="left" w:pos="720"/>
        </w:tabs>
        <w:snapToGrid w:val="0"/>
        <w:spacing w:line="360" w:lineRule="auto"/>
        <w:ind w:left="720" w:hanging="720"/>
        <w:rPr>
          <w:rFonts w:ascii="宋体" w:hAnsi="宋体"/>
          <w:bCs/>
          <w:color w:val="auto"/>
          <w:szCs w:val="21"/>
        </w:rPr>
      </w:pPr>
      <w:r>
        <w:rPr>
          <w:rFonts w:hint="eastAsia" w:ascii="宋体" w:hAnsi="宋体"/>
          <w:bCs/>
          <w:color w:val="auto"/>
          <w:szCs w:val="21"/>
        </w:rPr>
        <w:t>（《</w:t>
      </w:r>
      <w:r>
        <w:rPr>
          <w:rFonts w:ascii="宋体" w:hAnsi="宋体"/>
          <w:bCs/>
          <w:color w:val="auto"/>
          <w:szCs w:val="21"/>
        </w:rPr>
        <w:t>政府采购促进中小企业发展</w:t>
      </w:r>
      <w:r>
        <w:rPr>
          <w:rFonts w:hint="eastAsia" w:ascii="宋体" w:hAnsi="宋体"/>
          <w:bCs/>
          <w:color w:val="auto"/>
          <w:szCs w:val="21"/>
        </w:rPr>
        <w:t>管理</w:t>
      </w:r>
      <w:r>
        <w:rPr>
          <w:rFonts w:ascii="宋体" w:hAnsi="宋体"/>
          <w:bCs/>
          <w:color w:val="auto"/>
          <w:szCs w:val="21"/>
        </w:rPr>
        <w:t>办法》（财库〔20</w:t>
      </w:r>
      <w:r>
        <w:rPr>
          <w:rFonts w:hint="eastAsia" w:ascii="宋体" w:hAnsi="宋体"/>
          <w:bCs/>
          <w:color w:val="auto"/>
          <w:szCs w:val="21"/>
        </w:rPr>
        <w:t>20</w:t>
      </w:r>
      <w:r>
        <w:rPr>
          <w:rFonts w:ascii="宋体" w:hAnsi="宋体"/>
          <w:bCs/>
          <w:color w:val="auto"/>
          <w:szCs w:val="21"/>
        </w:rPr>
        <w:t>〕</w:t>
      </w:r>
      <w:r>
        <w:rPr>
          <w:rFonts w:hint="eastAsia" w:ascii="宋体" w:hAnsi="宋体"/>
          <w:bCs/>
          <w:color w:val="auto"/>
          <w:szCs w:val="21"/>
        </w:rPr>
        <w:t>46</w:t>
      </w:r>
      <w:r>
        <w:rPr>
          <w:rFonts w:ascii="宋体" w:hAnsi="宋体"/>
          <w:bCs/>
          <w:color w:val="auto"/>
          <w:szCs w:val="21"/>
        </w:rPr>
        <w:t>号）</w:t>
      </w:r>
      <w:r>
        <w:rPr>
          <w:rFonts w:hint="eastAsia" w:ascii="宋体" w:hAnsi="宋体"/>
          <w:bCs/>
          <w:color w:val="auto"/>
          <w:szCs w:val="21"/>
        </w:rPr>
        <w:t>，</w:t>
      </w:r>
      <w:r>
        <w:rPr>
          <w:rFonts w:ascii="宋体" w:hAnsi="宋体"/>
          <w:bCs/>
          <w:color w:val="auto"/>
          <w:szCs w:val="21"/>
        </w:rPr>
        <w:t>《关于政府采购支持监狱企</w:t>
      </w:r>
      <w:r>
        <w:rPr>
          <w:rFonts w:hint="eastAsia" w:ascii="宋体" w:hAnsi="宋体"/>
          <w:bCs/>
          <w:color w:val="auto"/>
          <w:szCs w:val="21"/>
        </w:rPr>
        <w:t xml:space="preserve"> </w:t>
      </w:r>
      <w:r>
        <w:rPr>
          <w:rFonts w:ascii="宋体" w:hAnsi="宋体"/>
          <w:bCs/>
          <w:color w:val="auto"/>
          <w:szCs w:val="21"/>
        </w:rPr>
        <w:t>业发展有关问题的通知》(财库〔2014〕68号)</w:t>
      </w:r>
      <w:r>
        <w:rPr>
          <w:rFonts w:hint="eastAsia" w:ascii="宋体" w:hAnsi="宋体"/>
          <w:bCs/>
          <w:color w:val="auto"/>
          <w:szCs w:val="21"/>
        </w:rPr>
        <w:t>，</w:t>
      </w:r>
      <w:r>
        <w:rPr>
          <w:rFonts w:ascii="宋体" w:hAnsi="宋体"/>
          <w:bCs/>
          <w:color w:val="auto"/>
          <w:szCs w:val="21"/>
        </w:rPr>
        <w:t>《关于促进残疾人就业政府采购政策的通知》（财库〔2017〕141号)</w:t>
      </w:r>
      <w:r>
        <w:rPr>
          <w:rFonts w:hint="eastAsia" w:ascii="宋体" w:hAnsi="宋体"/>
          <w:bCs/>
          <w:color w:val="auto"/>
          <w:szCs w:val="21"/>
        </w:rPr>
        <w:t>，</w:t>
      </w:r>
      <w:r>
        <w:rPr>
          <w:rFonts w:ascii="宋体" w:hAnsi="宋体"/>
          <w:bCs/>
          <w:color w:val="auto"/>
          <w:szCs w:val="21"/>
        </w:rPr>
        <w:t>《关于环境标志产品政府采购实施的意见》（财库〔2006〕90号</w:t>
      </w:r>
      <w:r>
        <w:rPr>
          <w:rFonts w:hint="eastAsia" w:ascii="宋体" w:hAnsi="宋体"/>
          <w:bCs/>
          <w:color w:val="auto"/>
          <w:szCs w:val="21"/>
        </w:rPr>
        <w:t>），</w:t>
      </w:r>
      <w:r>
        <w:rPr>
          <w:rFonts w:ascii="宋体" w:hAnsi="宋体"/>
          <w:bCs/>
          <w:color w:val="auto"/>
          <w:szCs w:val="21"/>
        </w:rPr>
        <w:t>《节能产品政府采购实施意见》的通知（财库〔2004〕185号）</w:t>
      </w:r>
      <w:r>
        <w:rPr>
          <w:rFonts w:hint="eastAsia" w:ascii="宋体" w:hAnsi="宋体"/>
          <w:bCs/>
          <w:color w:val="auto"/>
          <w:szCs w:val="21"/>
        </w:rPr>
        <w:t>。</w:t>
      </w:r>
    </w:p>
    <w:p w14:paraId="3D29DC31">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中小微企业</w:t>
      </w:r>
      <w:r>
        <w:rPr>
          <w:rFonts w:hint="eastAsia" w:ascii="宋体" w:hAnsi="宋体"/>
          <w:bCs/>
          <w:color w:val="auto"/>
          <w:szCs w:val="21"/>
        </w:rPr>
        <w:t>报价</w:t>
      </w:r>
      <w:r>
        <w:rPr>
          <w:rFonts w:ascii="宋体" w:hAnsi="宋体"/>
          <w:bCs/>
          <w:color w:val="auto"/>
          <w:szCs w:val="21"/>
        </w:rPr>
        <w:t>是指符合《中小企业划型标准规定》的</w:t>
      </w:r>
      <w:r>
        <w:rPr>
          <w:rFonts w:hint="eastAsia" w:ascii="宋体" w:hAnsi="宋体"/>
          <w:bCs/>
          <w:color w:val="auto"/>
          <w:szCs w:val="21"/>
        </w:rPr>
        <w:t>响应供应商</w:t>
      </w:r>
      <w:r>
        <w:rPr>
          <w:rFonts w:ascii="宋体" w:hAnsi="宋体"/>
          <w:bCs/>
          <w:color w:val="auto"/>
          <w:szCs w:val="21"/>
        </w:rPr>
        <w:t>，通过</w:t>
      </w:r>
      <w:r>
        <w:rPr>
          <w:rFonts w:hint="eastAsia" w:ascii="宋体" w:hAnsi="宋体"/>
          <w:bCs/>
          <w:color w:val="auto"/>
          <w:szCs w:val="21"/>
        </w:rPr>
        <w:t>报价</w:t>
      </w:r>
      <w:r>
        <w:rPr>
          <w:rFonts w:ascii="宋体" w:hAnsi="宋体"/>
          <w:bCs/>
          <w:color w:val="auto"/>
          <w:szCs w:val="21"/>
        </w:rPr>
        <w:t>提供本企业制造的货物、承担的工程或者服务，或者提供其他中小微企业制造的货物。中小微企业</w:t>
      </w:r>
      <w:r>
        <w:rPr>
          <w:rFonts w:hint="eastAsia" w:ascii="宋体" w:hAnsi="宋体"/>
          <w:bCs/>
          <w:color w:val="auto"/>
          <w:szCs w:val="21"/>
        </w:rPr>
        <w:t>报价</w:t>
      </w:r>
      <w:r>
        <w:rPr>
          <w:rFonts w:ascii="宋体" w:hAnsi="宋体"/>
          <w:bCs/>
          <w:color w:val="auto"/>
          <w:szCs w:val="21"/>
        </w:rPr>
        <w:t>应提供《中小微企业声明函》；</w:t>
      </w:r>
    </w:p>
    <w:p w14:paraId="60EB2E7F">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宋体" w:hAnsi="宋体"/>
          <w:bCs/>
          <w:color w:val="auto"/>
          <w:szCs w:val="21"/>
        </w:rPr>
        <w:t>报价</w:t>
      </w:r>
      <w:r>
        <w:rPr>
          <w:rFonts w:ascii="宋体" w:hAnsi="宋体"/>
          <w:bCs/>
          <w:color w:val="auto"/>
          <w:szCs w:val="21"/>
        </w:rPr>
        <w:t>时，提供由省级以上监狱管理局、戒毒管理局(含新疆生产建设兵团)出具的属于监狱企业的证明文件，不再提供《中小微企业声明函》。</w:t>
      </w:r>
    </w:p>
    <w:p w14:paraId="1303F813">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根据财政部、民政部、中国残疾人联合会印发的《关于促进残疾人就业政府采购政策的通知》（财库〔2017〕141号）的规定，残疾人福利性单位视同小微企业。符合条件的残疾人福利性单位在参加政府采购活动时，应当提供该通知规定的《残疾人福利性单位声明函》，并对声明的真实性负责。一旦成交将在成交公告中公告其声明函，接受社会监督。</w:t>
      </w:r>
      <w:r>
        <w:rPr>
          <w:rFonts w:hint="eastAsia" w:ascii="宋体" w:hAnsi="宋体"/>
          <w:bCs/>
          <w:color w:val="auto"/>
          <w:szCs w:val="21"/>
        </w:rPr>
        <w:t>响应供应商</w:t>
      </w:r>
      <w:r>
        <w:rPr>
          <w:rFonts w:ascii="宋体" w:hAnsi="宋体"/>
          <w:bCs/>
          <w:color w:val="auto"/>
          <w:szCs w:val="21"/>
        </w:rPr>
        <w:t>提供的《残疾人福利性单位声明函》与事实不符的，依照《政府采购法》第七十七条第一款的规定追究法律责任。</w:t>
      </w:r>
    </w:p>
    <w:p w14:paraId="55CC616F">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bCs/>
          <w:color w:val="auto"/>
          <w:szCs w:val="21"/>
        </w:rPr>
        <w:t>响应供应商同时为小型、微型企业、监狱企业、残疾人福利性单位任两种或以上情况的，评审中只享受一次价格扣除，不重复进行价格扣除。</w:t>
      </w:r>
    </w:p>
    <w:p w14:paraId="6E253CF7">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磋商文件的解释权</w:t>
      </w:r>
    </w:p>
    <w:p w14:paraId="2F42254E">
      <w:pPr>
        <w:snapToGrid w:val="0"/>
        <w:spacing w:line="360" w:lineRule="auto"/>
        <w:rPr>
          <w:rFonts w:ascii="宋体" w:hAnsi="宋体"/>
          <w:color w:val="auto"/>
          <w:szCs w:val="21"/>
        </w:rPr>
      </w:pPr>
      <w:r>
        <w:rPr>
          <w:rFonts w:hint="eastAsia" w:ascii="宋体" w:hAnsi="宋体"/>
          <w:color w:val="auto"/>
          <w:szCs w:val="21"/>
        </w:rPr>
        <w:t xml:space="preserve">     本磋商文件的解释权归“</w:t>
      </w:r>
      <w:r>
        <w:rPr>
          <w:rFonts w:hint="eastAsia" w:ascii="宋体" w:hAnsi="宋体"/>
          <w:color w:val="auto"/>
          <w:szCs w:val="21"/>
          <w:lang w:eastAsia="zh-CN"/>
        </w:rPr>
        <w:t>广州群生招标代理有限公司韶关分公司</w:t>
      </w:r>
      <w:r>
        <w:rPr>
          <w:rFonts w:hint="eastAsia" w:ascii="宋体" w:hAnsi="宋体"/>
          <w:color w:val="auto"/>
          <w:szCs w:val="21"/>
        </w:rPr>
        <w:t>”所有。</w:t>
      </w:r>
    </w:p>
    <w:p w14:paraId="05C3CCA9">
      <w:pPr>
        <w:pStyle w:val="4"/>
        <w:numPr>
          <w:ilvl w:val="0"/>
          <w:numId w:val="3"/>
        </w:numPr>
        <w:autoSpaceDE/>
        <w:autoSpaceDN/>
        <w:adjustRightInd/>
        <w:spacing w:before="260"/>
        <w:textAlignment w:val="auto"/>
        <w:rPr>
          <w:color w:val="auto"/>
          <w:sz w:val="21"/>
          <w:szCs w:val="21"/>
        </w:rPr>
      </w:pPr>
      <w:r>
        <w:rPr>
          <w:rFonts w:hint="eastAsia"/>
          <w:color w:val="auto"/>
          <w:sz w:val="21"/>
          <w:szCs w:val="21"/>
        </w:rPr>
        <w:t>磋商文件</w:t>
      </w:r>
    </w:p>
    <w:p w14:paraId="4D6307D5">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磋商文件的组成</w:t>
      </w:r>
    </w:p>
    <w:p w14:paraId="4BC6F896">
      <w:pPr>
        <w:snapToGrid w:val="0"/>
        <w:spacing w:line="360" w:lineRule="auto"/>
        <w:ind w:left="301"/>
        <w:rPr>
          <w:rFonts w:ascii="宋体" w:hAnsi="宋体"/>
          <w:color w:val="auto"/>
          <w:szCs w:val="21"/>
        </w:rPr>
      </w:pPr>
      <w:r>
        <w:rPr>
          <w:rFonts w:hint="eastAsia" w:ascii="宋体" w:hAnsi="宋体"/>
          <w:color w:val="auto"/>
          <w:szCs w:val="21"/>
        </w:rPr>
        <w:t>（1）磋商邀请</w:t>
      </w:r>
    </w:p>
    <w:p w14:paraId="728D090A">
      <w:pPr>
        <w:snapToGrid w:val="0"/>
        <w:spacing w:line="360" w:lineRule="auto"/>
        <w:ind w:left="301"/>
        <w:rPr>
          <w:rFonts w:ascii="宋体" w:hAnsi="宋体"/>
          <w:color w:val="auto"/>
          <w:szCs w:val="21"/>
        </w:rPr>
      </w:pPr>
      <w:r>
        <w:rPr>
          <w:rFonts w:hint="eastAsia" w:ascii="宋体" w:hAnsi="宋体"/>
          <w:color w:val="auto"/>
          <w:szCs w:val="21"/>
        </w:rPr>
        <w:t>（2）响应供应商须知</w:t>
      </w:r>
    </w:p>
    <w:p w14:paraId="057A7FF5">
      <w:pPr>
        <w:snapToGrid w:val="0"/>
        <w:spacing w:line="360" w:lineRule="auto"/>
        <w:ind w:left="301"/>
        <w:rPr>
          <w:rFonts w:ascii="宋体" w:hAnsi="宋体"/>
          <w:color w:val="auto"/>
          <w:szCs w:val="21"/>
        </w:rPr>
      </w:pPr>
      <w:r>
        <w:rPr>
          <w:rFonts w:hint="eastAsia" w:ascii="宋体" w:hAnsi="宋体"/>
          <w:color w:val="auto"/>
          <w:szCs w:val="21"/>
        </w:rPr>
        <w:t>（3）采购人需求</w:t>
      </w:r>
    </w:p>
    <w:p w14:paraId="4AD86379">
      <w:pPr>
        <w:snapToGrid w:val="0"/>
        <w:spacing w:line="360" w:lineRule="auto"/>
        <w:ind w:left="301"/>
        <w:rPr>
          <w:rFonts w:ascii="宋体" w:hAnsi="宋体"/>
          <w:color w:val="auto"/>
          <w:szCs w:val="21"/>
        </w:rPr>
      </w:pPr>
      <w:r>
        <w:rPr>
          <w:rFonts w:hint="eastAsia" w:ascii="宋体" w:hAnsi="宋体"/>
          <w:color w:val="auto"/>
          <w:szCs w:val="21"/>
        </w:rPr>
        <w:t>（4）合同文本</w:t>
      </w:r>
    </w:p>
    <w:p w14:paraId="5EECBA92">
      <w:pPr>
        <w:snapToGrid w:val="0"/>
        <w:spacing w:line="360" w:lineRule="auto"/>
        <w:ind w:left="301"/>
        <w:rPr>
          <w:rFonts w:ascii="宋体" w:hAnsi="宋体"/>
          <w:color w:val="auto"/>
          <w:szCs w:val="21"/>
        </w:rPr>
      </w:pPr>
      <w:r>
        <w:rPr>
          <w:rFonts w:hint="eastAsia" w:ascii="宋体" w:hAnsi="宋体"/>
          <w:color w:val="auto"/>
          <w:szCs w:val="21"/>
        </w:rPr>
        <w:t>（5）</w:t>
      </w:r>
      <w:r>
        <w:rPr>
          <w:rFonts w:hint="eastAsia" w:ascii="宋体" w:hAnsi="宋体"/>
          <w:bCs/>
          <w:color w:val="auto"/>
          <w:szCs w:val="21"/>
        </w:rPr>
        <w:t>磋商细则</w:t>
      </w:r>
    </w:p>
    <w:p w14:paraId="5A221E66">
      <w:pPr>
        <w:snapToGrid w:val="0"/>
        <w:spacing w:line="360" w:lineRule="auto"/>
        <w:ind w:left="181" w:leftChars="86" w:firstLine="105" w:firstLineChars="50"/>
        <w:rPr>
          <w:rFonts w:ascii="宋体" w:hAnsi="宋体"/>
          <w:bCs/>
          <w:color w:val="auto"/>
          <w:szCs w:val="21"/>
        </w:rPr>
      </w:pPr>
      <w:r>
        <w:rPr>
          <w:rFonts w:hint="eastAsia" w:ascii="宋体" w:hAnsi="宋体"/>
          <w:bCs/>
          <w:color w:val="auto"/>
          <w:szCs w:val="21"/>
        </w:rPr>
        <w:t>（6）</w:t>
      </w:r>
      <w:r>
        <w:rPr>
          <w:rFonts w:hint="eastAsia" w:ascii="宋体" w:hAnsi="宋体"/>
          <w:color w:val="auto"/>
          <w:szCs w:val="21"/>
        </w:rPr>
        <w:t>报价文件格式</w:t>
      </w:r>
    </w:p>
    <w:p w14:paraId="54E58E8A">
      <w:pPr>
        <w:snapToGrid w:val="0"/>
        <w:spacing w:line="360" w:lineRule="auto"/>
        <w:rPr>
          <w:rFonts w:ascii="宋体" w:hAnsi="宋体"/>
          <w:b/>
          <w:color w:val="auto"/>
          <w:szCs w:val="21"/>
        </w:rPr>
      </w:pPr>
      <w:r>
        <w:rPr>
          <w:rFonts w:hint="eastAsia" w:ascii="宋体" w:hAnsi="宋体"/>
          <w:b/>
          <w:color w:val="auto"/>
          <w:szCs w:val="21"/>
        </w:rPr>
        <w:t>2.2.磋商文件的澄清</w:t>
      </w:r>
    </w:p>
    <w:p w14:paraId="65AB191B">
      <w:pPr>
        <w:snapToGrid w:val="0"/>
        <w:spacing w:line="360" w:lineRule="auto"/>
        <w:ind w:left="735" w:hanging="735" w:hangingChars="350"/>
        <w:rPr>
          <w:rFonts w:ascii="宋体" w:hAnsi="宋体"/>
          <w:color w:val="auto"/>
          <w:szCs w:val="21"/>
        </w:rPr>
      </w:pPr>
      <w:bookmarkStart w:id="21" w:name="_Toc52288203"/>
      <w:bookmarkStart w:id="22" w:name="_Toc56855618"/>
      <w:bookmarkStart w:id="23" w:name="_Toc56938698"/>
      <w:bookmarkStart w:id="24" w:name="_Toc52270234"/>
      <w:bookmarkStart w:id="25" w:name="_Toc56851225"/>
      <w:bookmarkStart w:id="26" w:name="_Toc56855650"/>
      <w:bookmarkStart w:id="27" w:name="_Toc56846632"/>
      <w:r>
        <w:rPr>
          <w:rFonts w:hint="eastAsia" w:ascii="宋体" w:hAnsi="宋体"/>
          <w:bCs/>
          <w:color w:val="auto"/>
          <w:szCs w:val="21"/>
        </w:rPr>
        <w:t>2.2.1．采购人或采购代理机构对磋商文件进行必要的澄清</w:t>
      </w:r>
      <w:r>
        <w:rPr>
          <w:rFonts w:ascii="宋体" w:hAnsi="宋体"/>
          <w:bCs/>
          <w:color w:val="auto"/>
          <w:szCs w:val="21"/>
        </w:rPr>
        <w:t>或</w:t>
      </w:r>
      <w:r>
        <w:rPr>
          <w:rFonts w:hint="eastAsia" w:ascii="宋体" w:hAnsi="宋体"/>
          <w:bCs/>
          <w:color w:val="auto"/>
          <w:szCs w:val="21"/>
        </w:rPr>
        <w:t>修改的，</w:t>
      </w:r>
      <w:r>
        <w:rPr>
          <w:rFonts w:hint="eastAsia"/>
          <w:color w:val="auto"/>
        </w:rPr>
        <w:t>澄清或者修改的内容可能影响报价文件编制的，</w:t>
      </w:r>
      <w:r>
        <w:rPr>
          <w:rFonts w:hint="eastAsia" w:ascii="宋体" w:hAnsi="宋体"/>
          <w:bCs/>
          <w:color w:val="auto"/>
          <w:szCs w:val="21"/>
        </w:rPr>
        <w:t>于提交首次报价文件</w:t>
      </w:r>
      <w:r>
        <w:rPr>
          <w:rFonts w:hint="eastAsia" w:ascii="宋体" w:hAnsi="宋体"/>
          <w:color w:val="auto"/>
          <w:szCs w:val="21"/>
        </w:rPr>
        <w:t>截止之日3个工作日前在指定媒体上发布公告，并通知所有报名及购买磋商文件的供应商。不足上述时间的，</w:t>
      </w:r>
      <w:r>
        <w:rPr>
          <w:rFonts w:hint="eastAsia" w:ascii="宋体" w:hAnsi="宋体"/>
          <w:bCs/>
          <w:color w:val="auto"/>
          <w:szCs w:val="21"/>
        </w:rPr>
        <w:t>采购代理机构</w:t>
      </w:r>
      <w:r>
        <w:rPr>
          <w:rFonts w:hint="eastAsia" w:ascii="宋体" w:hAnsi="宋体"/>
          <w:color w:val="auto"/>
          <w:szCs w:val="21"/>
        </w:rPr>
        <w:t>在征得当时已报名及购买磋商文件的供应商同意并书面确认后（可以电子邮件或传真形式），可不改变截止时间。</w:t>
      </w:r>
    </w:p>
    <w:p w14:paraId="29F3FC24">
      <w:pPr>
        <w:snapToGrid w:val="0"/>
        <w:spacing w:line="360" w:lineRule="auto"/>
        <w:ind w:left="735" w:hanging="735" w:hangingChars="350"/>
        <w:rPr>
          <w:rFonts w:ascii="宋体" w:hAnsi="宋体"/>
          <w:bCs/>
          <w:color w:val="auto"/>
          <w:szCs w:val="21"/>
        </w:rPr>
      </w:pPr>
      <w:r>
        <w:rPr>
          <w:rFonts w:hint="eastAsia" w:ascii="宋体" w:hAnsi="宋体"/>
          <w:bCs/>
          <w:color w:val="auto"/>
          <w:szCs w:val="21"/>
        </w:rPr>
        <w:t>2.2.2.报名及购买磋商文件的供应商在收到澄清或修改通知后应按要求以书面形式（可以电子邮件或传真形式）予以确认，该澄清或修改的内容为磋商文件的组成部分，供应商在提交首次报价文件截止时间前不予书面确认的，视为已收到通知且对内容无异议。</w:t>
      </w:r>
    </w:p>
    <w:p w14:paraId="7DE7C488">
      <w:pPr>
        <w:tabs>
          <w:tab w:val="left" w:pos="720"/>
          <w:tab w:val="left" w:pos="1050"/>
          <w:tab w:val="left" w:pos="1155"/>
        </w:tabs>
        <w:snapToGrid w:val="0"/>
        <w:spacing w:line="360" w:lineRule="auto"/>
        <w:ind w:left="735" w:hanging="735" w:hangingChars="350"/>
        <w:rPr>
          <w:rFonts w:ascii="宋体" w:hAnsi="宋体"/>
          <w:bCs/>
          <w:color w:val="auto"/>
          <w:szCs w:val="21"/>
        </w:rPr>
      </w:pPr>
      <w:r>
        <w:rPr>
          <w:rFonts w:hint="eastAsia" w:ascii="宋体" w:hAnsi="宋体"/>
          <w:bCs/>
          <w:color w:val="auto"/>
          <w:szCs w:val="21"/>
        </w:rPr>
        <w:t>2.2.3.采购过程中的一切修改文件或补充文件一旦确认后与磋商文件具有同等法律效力，响应供应商有责任履行相应的义务。</w:t>
      </w:r>
    </w:p>
    <w:p w14:paraId="7A1C6D68">
      <w:pPr>
        <w:snapToGrid w:val="0"/>
        <w:spacing w:line="360" w:lineRule="auto"/>
        <w:ind w:left="735" w:hanging="735" w:hangingChars="350"/>
        <w:rPr>
          <w:rFonts w:ascii="宋体" w:hAnsi="宋体"/>
          <w:bCs/>
          <w:color w:val="auto"/>
          <w:szCs w:val="21"/>
        </w:rPr>
      </w:pPr>
      <w:r>
        <w:rPr>
          <w:rFonts w:hint="eastAsia" w:ascii="宋体" w:hAnsi="宋体"/>
          <w:bCs/>
          <w:color w:val="auto"/>
          <w:szCs w:val="21"/>
        </w:rPr>
        <w:t>2.2.4.</w:t>
      </w:r>
      <w:r>
        <w:rPr>
          <w:rFonts w:hint="eastAsia" w:ascii="宋体" w:hAnsi="宋体"/>
          <w:color w:val="auto"/>
          <w:szCs w:val="21"/>
        </w:rPr>
        <w:t>响应供应商</w:t>
      </w:r>
      <w:r>
        <w:rPr>
          <w:rFonts w:ascii="宋体" w:hAnsi="宋体"/>
          <w:color w:val="auto"/>
          <w:szCs w:val="21"/>
        </w:rPr>
        <w:t>在规定的时间内未对</w:t>
      </w:r>
      <w:r>
        <w:rPr>
          <w:rFonts w:hint="eastAsia" w:ascii="宋体" w:hAnsi="宋体"/>
          <w:color w:val="auto"/>
          <w:szCs w:val="21"/>
        </w:rPr>
        <w:t>磋商</w:t>
      </w:r>
      <w:r>
        <w:rPr>
          <w:rFonts w:ascii="宋体" w:hAnsi="宋体"/>
          <w:color w:val="auto"/>
          <w:szCs w:val="21"/>
        </w:rPr>
        <w:t>文件提出</w:t>
      </w:r>
      <w:r>
        <w:rPr>
          <w:rFonts w:hint="eastAsia" w:ascii="宋体" w:hAnsi="宋体"/>
          <w:color w:val="auto"/>
          <w:szCs w:val="21"/>
        </w:rPr>
        <w:t>询问</w:t>
      </w:r>
      <w:r>
        <w:rPr>
          <w:rFonts w:ascii="宋体" w:hAnsi="宋体"/>
          <w:color w:val="auto"/>
          <w:szCs w:val="21"/>
        </w:rPr>
        <w:t>、质疑的，将视其为无异议。对</w:t>
      </w:r>
      <w:r>
        <w:rPr>
          <w:rFonts w:hint="eastAsia" w:ascii="宋体" w:hAnsi="宋体"/>
          <w:color w:val="auto"/>
          <w:szCs w:val="21"/>
        </w:rPr>
        <w:t>磋商</w:t>
      </w:r>
      <w:r>
        <w:rPr>
          <w:rFonts w:ascii="宋体" w:hAnsi="宋体"/>
          <w:color w:val="auto"/>
          <w:szCs w:val="21"/>
        </w:rPr>
        <w:t>文件中描述有歧义或前后不一致的地方，</w:t>
      </w:r>
      <w:r>
        <w:rPr>
          <w:rFonts w:hint="eastAsia" w:ascii="宋体" w:hAnsi="宋体"/>
          <w:color w:val="auto"/>
          <w:szCs w:val="21"/>
        </w:rPr>
        <w:t>磋商小组</w:t>
      </w:r>
      <w:r>
        <w:rPr>
          <w:rFonts w:ascii="宋体" w:hAnsi="宋体"/>
          <w:color w:val="auto"/>
          <w:szCs w:val="21"/>
        </w:rPr>
        <w:t>有权进行评判，但对同一条款的评判应适用于每个</w:t>
      </w:r>
      <w:r>
        <w:rPr>
          <w:rFonts w:hint="eastAsia" w:ascii="宋体" w:hAnsi="宋体"/>
          <w:color w:val="auto"/>
          <w:szCs w:val="21"/>
        </w:rPr>
        <w:t>响应供应商。</w:t>
      </w:r>
    </w:p>
    <w:p w14:paraId="11792E06">
      <w:pPr>
        <w:pStyle w:val="4"/>
        <w:numPr>
          <w:ilvl w:val="0"/>
          <w:numId w:val="3"/>
        </w:numPr>
        <w:autoSpaceDE/>
        <w:autoSpaceDN/>
        <w:adjustRightInd/>
        <w:spacing w:before="260"/>
        <w:textAlignment w:val="auto"/>
        <w:rPr>
          <w:color w:val="auto"/>
          <w:sz w:val="21"/>
          <w:szCs w:val="21"/>
        </w:rPr>
      </w:pPr>
      <w:r>
        <w:rPr>
          <w:rFonts w:hint="eastAsia"/>
          <w:color w:val="auto"/>
          <w:sz w:val="21"/>
          <w:szCs w:val="21"/>
        </w:rPr>
        <w:t>报价总则</w:t>
      </w:r>
      <w:bookmarkEnd w:id="21"/>
      <w:bookmarkEnd w:id="22"/>
      <w:bookmarkEnd w:id="23"/>
      <w:bookmarkEnd w:id="24"/>
      <w:bookmarkEnd w:id="25"/>
      <w:bookmarkEnd w:id="26"/>
      <w:bookmarkEnd w:id="27"/>
    </w:p>
    <w:p w14:paraId="5A55F4BD">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报价文件的编写</w:t>
      </w:r>
    </w:p>
    <w:p w14:paraId="0BBF346D">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响应供应商应仔细阅读磋商文件的所有内容，按磋商文件的要求制作并递交报价文件，并保证所提供的全部资料的真实性、准确性，以确保其对磋商文件做出实质性响应；否则，将拒绝其报价。响应供应商若提供不真实的材料，无论其材料是否重要，都将有可能直接导致报价无效，并承担由此产生的法律责任。</w:t>
      </w:r>
    </w:p>
    <w:p w14:paraId="42882F54">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语言和计量单位：</w:t>
      </w:r>
      <w:r>
        <w:rPr>
          <w:rFonts w:hint="eastAsia" w:ascii="宋体" w:hAnsi="宋体"/>
          <w:bCs/>
          <w:color w:val="auto"/>
          <w:szCs w:val="21"/>
        </w:rPr>
        <w:t>报价文件和来往函件应用简体中文书写，响应供应商提供的支持文件、技术资料和印刷的文献可以用其他语言，但相应内容应附有中文翻译文本（经公证处公证），对不同文字文本报价文件的解释发生异议的，以中文文本为准。计量单位应使用国际公制单位制</w:t>
      </w:r>
      <w:r>
        <w:rPr>
          <w:rFonts w:hint="eastAsia" w:ascii="宋体" w:hAnsi="宋体"/>
          <w:color w:val="auto"/>
          <w:szCs w:val="21"/>
        </w:rPr>
        <w:t>。</w:t>
      </w:r>
    </w:p>
    <w:p w14:paraId="55A513F1">
      <w:pPr>
        <w:numPr>
          <w:ilvl w:val="2"/>
          <w:numId w:val="3"/>
        </w:numPr>
        <w:tabs>
          <w:tab w:val="left" w:pos="720"/>
        </w:tabs>
        <w:snapToGrid w:val="0"/>
        <w:spacing w:line="360" w:lineRule="auto"/>
        <w:ind w:left="720" w:hanging="720"/>
        <w:rPr>
          <w:rFonts w:ascii="宋体" w:hAnsi="宋体"/>
          <w:color w:val="auto"/>
          <w:szCs w:val="21"/>
          <w:u w:val="single"/>
        </w:rPr>
      </w:pPr>
      <w:r>
        <w:rPr>
          <w:rFonts w:hint="eastAsia" w:ascii="宋体" w:hAnsi="宋体"/>
          <w:color w:val="auto"/>
          <w:szCs w:val="21"/>
        </w:rPr>
        <w:t>响应供应商应用人民币报价。</w:t>
      </w:r>
      <w:r>
        <w:rPr>
          <w:rFonts w:hint="eastAsia" w:ascii="宋体" w:hAnsi="宋体"/>
          <w:bCs/>
          <w:color w:val="auto"/>
          <w:szCs w:val="21"/>
        </w:rPr>
        <w:t>报价文件的大写金额和小写金额不一致的，以大写金额为准；总价金额与按单价汇总金额不一致的，以单价金额计算结果为准；单价金额小数点有明显错位的，应以总价为准，并修改单价。</w:t>
      </w:r>
    </w:p>
    <w:p w14:paraId="0D8C80EA">
      <w:pPr>
        <w:numPr>
          <w:ilvl w:val="2"/>
          <w:numId w:val="3"/>
        </w:numPr>
        <w:tabs>
          <w:tab w:val="left" w:pos="720"/>
        </w:tabs>
        <w:snapToGrid w:val="0"/>
        <w:spacing w:line="360" w:lineRule="auto"/>
        <w:ind w:left="720" w:hanging="720"/>
        <w:rPr>
          <w:rFonts w:ascii="宋体" w:hAnsi="宋体"/>
          <w:color w:val="auto"/>
          <w:szCs w:val="21"/>
          <w:u w:val="single"/>
        </w:rPr>
      </w:pPr>
      <w:r>
        <w:rPr>
          <w:rFonts w:hint="eastAsia" w:ascii="宋体" w:hAnsi="宋体"/>
          <w:bCs/>
          <w:color w:val="auto"/>
          <w:szCs w:val="21"/>
        </w:rPr>
        <w:t>本项目要求总报价应包括响应供应商提供本项目要求服务时所需人员、设备、货物、产品、采购、运输、安装、调试、相关部门验收等所有费用，以及响应供应商认为必要的其他人员、设备、货物、产品、材料、安装、服务；响应供应商应自行增加能满足所承诺达到的服务质量所必需但谈判文件没有包含的所有人员、货物、版权、专利等一切费用，如果响应供应商在成交并签署合同后，在人员、供货、安装、调试、培训等工作中出现任何遗漏，均由成交供应商免费提供，采购人将不再支付任何费用。</w:t>
      </w:r>
    </w:p>
    <w:p w14:paraId="25FD0016">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s="宋体"/>
          <w:color w:val="auto"/>
          <w:szCs w:val="21"/>
        </w:rPr>
        <w:t>响应供应商在编写报价文件时，应填写磋商文件要求的内容及其附件，并根据实际情况补充评审所需资料，报价文件</w:t>
      </w:r>
      <w:r>
        <w:rPr>
          <w:rFonts w:hint="eastAsia" w:ascii="宋体" w:hAnsi="宋体" w:cs="宋体"/>
          <w:color w:val="auto"/>
          <w:szCs w:val="21"/>
          <w:lang w:eastAsia="zh-TW"/>
        </w:rPr>
        <w:t>只填写和提供了</w:t>
      </w:r>
      <w:r>
        <w:rPr>
          <w:rFonts w:hint="eastAsia" w:ascii="宋体" w:hAnsi="宋体" w:cs="宋体"/>
          <w:color w:val="auto"/>
          <w:szCs w:val="21"/>
        </w:rPr>
        <w:t>磋商</w:t>
      </w:r>
      <w:r>
        <w:rPr>
          <w:rFonts w:hint="eastAsia" w:ascii="宋体" w:hAnsi="宋体" w:cs="宋体"/>
          <w:color w:val="auto"/>
          <w:szCs w:val="21"/>
          <w:lang w:eastAsia="zh-TW"/>
        </w:rPr>
        <w:t>文件要求的部分内容和附件，或没有提供</w:t>
      </w:r>
      <w:r>
        <w:rPr>
          <w:rFonts w:hint="eastAsia" w:ascii="宋体" w:hAnsi="宋体" w:cs="宋体"/>
          <w:color w:val="auto"/>
          <w:szCs w:val="21"/>
        </w:rPr>
        <w:t>磋商</w:t>
      </w:r>
      <w:r>
        <w:rPr>
          <w:rFonts w:hint="eastAsia" w:ascii="宋体" w:hAnsi="宋体" w:cs="宋体"/>
          <w:color w:val="auto"/>
          <w:szCs w:val="21"/>
          <w:lang w:eastAsia="zh-TW"/>
        </w:rPr>
        <w:t>文件中所要求的全部资料及数据，</w:t>
      </w:r>
      <w:r>
        <w:rPr>
          <w:rFonts w:hint="eastAsia" w:ascii="宋体" w:hAnsi="宋体" w:cs="宋体"/>
          <w:color w:val="auto"/>
          <w:szCs w:val="21"/>
        </w:rPr>
        <w:t>或没有按实际情况提供报价所需资料的，</w:t>
      </w:r>
      <w:r>
        <w:rPr>
          <w:rFonts w:hint="eastAsia" w:ascii="宋体" w:hAnsi="宋体" w:cs="宋体"/>
          <w:color w:val="auto"/>
          <w:szCs w:val="21"/>
          <w:lang w:eastAsia="zh-TW"/>
        </w:rPr>
        <w:t>其可能导致的结果和责任由</w:t>
      </w:r>
      <w:r>
        <w:rPr>
          <w:rFonts w:hint="eastAsia" w:ascii="宋体" w:hAnsi="宋体" w:cs="宋体"/>
          <w:color w:val="auto"/>
          <w:szCs w:val="21"/>
        </w:rPr>
        <w:t>响应供应商</w:t>
      </w:r>
      <w:r>
        <w:rPr>
          <w:rFonts w:hint="eastAsia" w:ascii="宋体" w:hAnsi="宋体" w:cs="宋体"/>
          <w:color w:val="auto"/>
          <w:szCs w:val="21"/>
          <w:lang w:eastAsia="zh-TW"/>
        </w:rPr>
        <w:t>自行承担。</w:t>
      </w:r>
    </w:p>
    <w:p w14:paraId="21EC5904">
      <w:pPr>
        <w:numPr>
          <w:ilvl w:val="2"/>
          <w:numId w:val="3"/>
        </w:numPr>
        <w:tabs>
          <w:tab w:val="left" w:pos="720"/>
        </w:tabs>
        <w:snapToGrid w:val="0"/>
        <w:spacing w:line="360" w:lineRule="auto"/>
        <w:ind w:left="720" w:hanging="720"/>
        <w:rPr>
          <w:rFonts w:ascii="宋体" w:hAnsi="宋体"/>
          <w:bCs/>
          <w:color w:val="auto"/>
          <w:szCs w:val="21"/>
        </w:rPr>
      </w:pPr>
      <w:r>
        <w:rPr>
          <w:rFonts w:hint="eastAsia" w:ascii="宋体" w:hAnsi="宋体"/>
          <w:bCs/>
          <w:color w:val="auto"/>
          <w:szCs w:val="21"/>
        </w:rPr>
        <w:t>响应供应商的报价明显低于其他报价，使得其报价可能低于其个别成本的，有可能影响商品质量和不能诚信履约的，应当要求该响应供应商作出书面说明并提供相关证明材料。响应供应商不能合理说明或者不能提供相关证明材料的，由磋商小组认定该响应供应商以低于成本报价，其报价应作无效报价处理。</w:t>
      </w:r>
    </w:p>
    <w:p w14:paraId="1325BD1F">
      <w:pPr>
        <w:numPr>
          <w:ilvl w:val="2"/>
          <w:numId w:val="3"/>
        </w:numPr>
        <w:snapToGrid w:val="0"/>
        <w:spacing w:line="360" w:lineRule="auto"/>
        <w:rPr>
          <w:rFonts w:ascii="宋体" w:hAnsi="宋体"/>
          <w:color w:val="auto"/>
          <w:szCs w:val="21"/>
        </w:rPr>
      </w:pPr>
      <w:r>
        <w:rPr>
          <w:rFonts w:hint="eastAsia" w:ascii="宋体" w:hAnsi="宋体"/>
          <w:color w:val="auto"/>
          <w:szCs w:val="21"/>
        </w:rPr>
        <w:t>采购代理机构不接受电报、电话、电传、传真等非约定形式报价。</w:t>
      </w:r>
    </w:p>
    <w:p w14:paraId="22676802">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报价文件的构成</w:t>
      </w:r>
    </w:p>
    <w:p w14:paraId="38A1670B">
      <w:pPr>
        <w:tabs>
          <w:tab w:val="left" w:pos="840"/>
          <w:tab w:val="left" w:pos="1050"/>
          <w:tab w:val="left" w:pos="1155"/>
        </w:tabs>
        <w:snapToGrid w:val="0"/>
        <w:spacing w:line="360" w:lineRule="auto"/>
        <w:ind w:left="1" w:firstLine="550" w:firstLineChars="262"/>
        <w:rPr>
          <w:rFonts w:ascii="宋体" w:hAnsi="宋体"/>
          <w:bCs/>
          <w:color w:val="auto"/>
          <w:szCs w:val="21"/>
        </w:rPr>
      </w:pPr>
      <w:r>
        <w:rPr>
          <w:rFonts w:hint="eastAsia" w:ascii="宋体" w:hAnsi="宋体"/>
          <w:bCs/>
          <w:color w:val="auto"/>
          <w:szCs w:val="21"/>
        </w:rPr>
        <w:t>响应供应商编写的报价文件格式详见报价文件目录表。</w:t>
      </w:r>
    </w:p>
    <w:p w14:paraId="538B63CE">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b/>
          <w:color w:val="auto"/>
          <w:szCs w:val="21"/>
          <w:u w:val="single"/>
        </w:rPr>
        <w:t>响应供应商应按照磋商文件的要求编制带有目录和页码并装订成册的报价文件。</w:t>
      </w:r>
    </w:p>
    <w:p w14:paraId="60B67E4E">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响应供应商必须自行承担因其报价文件的任何错漏而导致的一切后果。</w:t>
      </w:r>
    </w:p>
    <w:p w14:paraId="2D161477">
      <w:pPr>
        <w:numPr>
          <w:ilvl w:val="1"/>
          <w:numId w:val="3"/>
        </w:numPr>
        <w:tabs>
          <w:tab w:val="left" w:pos="735"/>
        </w:tabs>
        <w:snapToGrid w:val="0"/>
        <w:spacing w:line="360" w:lineRule="auto"/>
        <w:rPr>
          <w:rFonts w:ascii="宋体" w:hAnsi="宋体"/>
          <w:b/>
          <w:color w:val="auto"/>
          <w:szCs w:val="21"/>
        </w:rPr>
      </w:pPr>
      <w:r>
        <w:rPr>
          <w:rFonts w:hint="eastAsia" w:ascii="宋体" w:hAnsi="宋体"/>
          <w:b/>
          <w:color w:val="auto"/>
          <w:szCs w:val="21"/>
        </w:rPr>
        <w:t>报价的修改及撤回</w:t>
      </w:r>
    </w:p>
    <w:p w14:paraId="0FEE19B9">
      <w:pPr>
        <w:numPr>
          <w:ilvl w:val="2"/>
          <w:numId w:val="3"/>
        </w:numPr>
        <w:snapToGrid w:val="0"/>
        <w:spacing w:line="360" w:lineRule="auto"/>
        <w:ind w:left="735" w:hanging="735" w:hangingChars="350"/>
        <w:rPr>
          <w:rFonts w:ascii="宋体" w:hAnsi="宋体"/>
          <w:color w:val="auto"/>
          <w:szCs w:val="21"/>
        </w:rPr>
      </w:pPr>
      <w:r>
        <w:rPr>
          <w:rFonts w:hint="eastAsia" w:ascii="宋体" w:hAnsi="宋体"/>
          <w:color w:val="auto"/>
          <w:szCs w:val="21"/>
        </w:rPr>
        <w:t>在报价截止时间前，响应供应商可以以书面通知的形式向采购代理机构修改或撤回其报价文件。修改后的报价文件须按照本项目规定的报价截止时间之前重新递交，否则，采购代理机构将拒绝接受修改后的报价文件。</w:t>
      </w:r>
    </w:p>
    <w:p w14:paraId="4F870B78">
      <w:pPr>
        <w:numPr>
          <w:ilvl w:val="2"/>
          <w:numId w:val="3"/>
        </w:numPr>
        <w:tabs>
          <w:tab w:val="left" w:pos="720"/>
        </w:tabs>
        <w:snapToGrid w:val="0"/>
        <w:spacing w:line="360" w:lineRule="auto"/>
        <w:ind w:left="735" w:hanging="735" w:hangingChars="350"/>
        <w:rPr>
          <w:rFonts w:ascii="宋体" w:hAnsi="宋体"/>
          <w:color w:val="auto"/>
          <w:szCs w:val="21"/>
        </w:rPr>
      </w:pPr>
      <w:r>
        <w:rPr>
          <w:rFonts w:hint="eastAsia" w:ascii="宋体" w:hAnsi="宋体"/>
          <w:color w:val="auto"/>
          <w:szCs w:val="21"/>
        </w:rPr>
        <w:t>在报价截止时间后，响应供应商不得对其报价文件作任何修改。从报价截止时间至报价有效期满之前，响应供应商不允许撤回其报价文件。</w:t>
      </w:r>
    </w:p>
    <w:p w14:paraId="2527511B">
      <w:pPr>
        <w:pStyle w:val="4"/>
        <w:numPr>
          <w:ilvl w:val="0"/>
          <w:numId w:val="3"/>
        </w:numPr>
        <w:autoSpaceDE/>
        <w:autoSpaceDN/>
        <w:adjustRightInd/>
        <w:spacing w:before="260"/>
        <w:textAlignment w:val="auto"/>
        <w:rPr>
          <w:color w:val="auto"/>
          <w:sz w:val="21"/>
          <w:szCs w:val="21"/>
        </w:rPr>
      </w:pPr>
      <w:r>
        <w:rPr>
          <w:rFonts w:hint="eastAsia"/>
          <w:color w:val="auto"/>
          <w:sz w:val="21"/>
          <w:szCs w:val="21"/>
        </w:rPr>
        <w:t>报价要求</w:t>
      </w:r>
    </w:p>
    <w:p w14:paraId="3DDE4F86">
      <w:pPr>
        <w:snapToGrid w:val="0"/>
        <w:spacing w:line="360" w:lineRule="auto"/>
        <w:rPr>
          <w:rFonts w:ascii="宋体" w:hAnsi="宋体"/>
          <w:b/>
          <w:bCs/>
          <w:color w:val="auto"/>
          <w:szCs w:val="21"/>
        </w:rPr>
      </w:pPr>
      <w:r>
        <w:rPr>
          <w:rFonts w:hint="eastAsia" w:ascii="宋体" w:hAnsi="宋体"/>
          <w:b/>
          <w:bCs/>
          <w:color w:val="auto"/>
          <w:szCs w:val="21"/>
        </w:rPr>
        <w:t>4.1.报价</w:t>
      </w:r>
    </w:p>
    <w:p w14:paraId="628D8028">
      <w:pPr>
        <w:numPr>
          <w:ilvl w:val="2"/>
          <w:numId w:val="3"/>
        </w:numPr>
        <w:tabs>
          <w:tab w:val="left" w:pos="735"/>
        </w:tabs>
        <w:snapToGrid w:val="0"/>
        <w:spacing w:line="360" w:lineRule="auto"/>
        <w:ind w:left="735" w:hanging="735" w:hangingChars="350"/>
        <w:rPr>
          <w:rFonts w:ascii="宋体" w:hAnsi="宋体"/>
          <w:color w:val="auto"/>
          <w:szCs w:val="21"/>
        </w:rPr>
      </w:pPr>
      <w:r>
        <w:rPr>
          <w:rFonts w:hint="eastAsia" w:ascii="宋体" w:hAnsi="宋体"/>
          <w:color w:val="auto"/>
          <w:szCs w:val="21"/>
        </w:rPr>
        <w:t>全部报价文件应一式三份，正本一份，副本二份，副本可由正本复印而成；报价文件电子版1份，光盘或U盘介质，WORD或EXCEL格式，不留密码，无病毒，内容应与响应供应商打印产生的纸质报价文件内容一致，如有不同，以纸质报价文件为准。除特别注明外，报价文件应提交纸质文件。如果正本与副本不符，应以正本为准。报价文件应由响应供应商的合法授权代表正式签署，如有任何更改应由原签署人签字。无论报价结果如何，响应供应商的全部报价文件均不退回。另按要求单独提交一个“报价信封”。</w:t>
      </w:r>
    </w:p>
    <w:p w14:paraId="1896732A">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响应供应商应对报价项目提供完整的详细的实施方案</w:t>
      </w:r>
      <w:r>
        <w:rPr>
          <w:rFonts w:ascii="宋体" w:hAnsi="宋体"/>
          <w:color w:val="auto"/>
          <w:szCs w:val="21"/>
        </w:rPr>
        <w:t>。</w:t>
      </w:r>
    </w:p>
    <w:p w14:paraId="73ABE13F">
      <w:pPr>
        <w:numPr>
          <w:ilvl w:val="2"/>
          <w:numId w:val="3"/>
        </w:numPr>
        <w:tabs>
          <w:tab w:val="left" w:pos="720"/>
        </w:tabs>
        <w:snapToGrid w:val="0"/>
        <w:spacing w:line="360" w:lineRule="auto"/>
        <w:ind w:left="735" w:hanging="735" w:hangingChars="350"/>
        <w:rPr>
          <w:rFonts w:ascii="宋体" w:hAnsi="宋体"/>
          <w:color w:val="auto"/>
          <w:szCs w:val="21"/>
        </w:rPr>
      </w:pPr>
      <w:r>
        <w:rPr>
          <w:rFonts w:hint="eastAsia" w:ascii="宋体" w:hAnsi="宋体"/>
          <w:color w:val="auto"/>
          <w:szCs w:val="21"/>
        </w:rPr>
        <w:t>所有报价文件应在报价截止时间前送达磋商文件指定地点，交予采购代理机构专职负责人,任何迟于这个时间的报价将被拒绝。</w:t>
      </w:r>
    </w:p>
    <w:p w14:paraId="1F7D1BD0">
      <w:pPr>
        <w:numPr>
          <w:ilvl w:val="2"/>
          <w:numId w:val="3"/>
        </w:numPr>
        <w:tabs>
          <w:tab w:val="left" w:pos="720"/>
        </w:tabs>
        <w:snapToGrid w:val="0"/>
        <w:spacing w:line="360" w:lineRule="auto"/>
        <w:ind w:left="735" w:hanging="735" w:hangingChars="350"/>
        <w:rPr>
          <w:rFonts w:ascii="宋体" w:hAnsi="宋体"/>
          <w:color w:val="auto"/>
          <w:szCs w:val="21"/>
        </w:rPr>
      </w:pPr>
      <w:r>
        <w:rPr>
          <w:rFonts w:hint="eastAsia" w:ascii="宋体" w:hAnsi="宋体"/>
          <w:color w:val="auto"/>
          <w:szCs w:val="21"/>
        </w:rPr>
        <w:t>所有报价文件必须封入密封的信封或包装，在封口上加盖报价单位公章，并在每一信封或包装的封面上写明：</w:t>
      </w:r>
    </w:p>
    <w:tbl>
      <w:tblPr>
        <w:tblStyle w:val="36"/>
        <w:tblW w:w="75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14:paraId="3870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40" w:type="dxa"/>
          </w:tcPr>
          <w:p w14:paraId="28B3EB01">
            <w:pPr>
              <w:spacing w:line="360" w:lineRule="auto"/>
              <w:ind w:left="255"/>
              <w:jc w:val="right"/>
              <w:rPr>
                <w:rFonts w:ascii="宋体" w:hAnsi="宋体"/>
                <w:color w:val="auto"/>
                <w:szCs w:val="21"/>
              </w:rPr>
            </w:pPr>
            <w:r>
              <w:rPr>
                <w:rFonts w:hint="eastAsia" w:ascii="宋体" w:hAnsi="宋体"/>
                <w:color w:val="auto"/>
                <w:szCs w:val="21"/>
              </w:rPr>
              <w:t>（正本/副本/报价信封）</w:t>
            </w:r>
          </w:p>
          <w:p w14:paraId="43ED3596">
            <w:pPr>
              <w:spacing w:line="360" w:lineRule="auto"/>
              <w:ind w:left="435"/>
              <w:rPr>
                <w:rFonts w:hint="eastAsia" w:ascii="宋体" w:hAnsi="宋体" w:eastAsia="宋体"/>
                <w:color w:val="auto"/>
                <w:szCs w:val="21"/>
                <w:lang w:eastAsia="zh-CN"/>
              </w:rPr>
            </w:pPr>
            <w:r>
              <w:rPr>
                <w:rFonts w:hint="eastAsia" w:ascii="宋体" w:hAnsi="宋体"/>
                <w:color w:val="auto"/>
                <w:szCs w:val="21"/>
              </w:rPr>
              <w:t>收件人名称：</w:t>
            </w:r>
            <w:r>
              <w:rPr>
                <w:rFonts w:hint="eastAsia" w:ascii="宋体" w:hAnsi="宋体"/>
                <w:color w:val="auto"/>
                <w:szCs w:val="21"/>
                <w:lang w:eastAsia="zh-CN"/>
              </w:rPr>
              <w:t>广州群生招标代理有限公司韶关分公司</w:t>
            </w:r>
          </w:p>
          <w:p w14:paraId="0C8C07D8">
            <w:pPr>
              <w:spacing w:line="360" w:lineRule="auto"/>
              <w:ind w:left="435"/>
              <w:rPr>
                <w:rFonts w:ascii="宋体" w:hAnsi="宋体"/>
                <w:color w:val="auto"/>
                <w:szCs w:val="21"/>
              </w:rPr>
            </w:pPr>
            <w:r>
              <w:rPr>
                <w:rFonts w:hint="eastAsia" w:ascii="宋体" w:hAnsi="宋体"/>
                <w:color w:val="auto"/>
                <w:szCs w:val="21"/>
              </w:rPr>
              <w:t xml:space="preserve">项目编号：                      项目名称：            </w:t>
            </w:r>
          </w:p>
          <w:p w14:paraId="3858349C">
            <w:pPr>
              <w:spacing w:line="360" w:lineRule="auto"/>
              <w:ind w:left="435"/>
              <w:rPr>
                <w:rFonts w:ascii="宋体" w:hAnsi="宋体"/>
                <w:color w:val="auto"/>
                <w:szCs w:val="21"/>
              </w:rPr>
            </w:pPr>
            <w:r>
              <w:rPr>
                <w:rFonts w:hint="eastAsia" w:ascii="宋体" w:hAnsi="宋体"/>
                <w:color w:val="auto"/>
                <w:szCs w:val="21"/>
              </w:rPr>
              <w:t>响应供应商名称：                    响应供应商地址：</w:t>
            </w:r>
          </w:p>
          <w:p w14:paraId="3C30ABDB">
            <w:pPr>
              <w:spacing w:line="360" w:lineRule="auto"/>
              <w:ind w:left="435"/>
              <w:rPr>
                <w:rFonts w:ascii="宋体" w:hAnsi="宋体"/>
                <w:color w:val="auto"/>
                <w:szCs w:val="21"/>
              </w:rPr>
            </w:pPr>
            <w:r>
              <w:rPr>
                <w:rFonts w:hint="eastAsia" w:ascii="宋体" w:hAnsi="宋体"/>
                <w:color w:val="auto"/>
                <w:szCs w:val="21"/>
              </w:rPr>
              <w:t>联系人：                        联系电话：</w:t>
            </w:r>
          </w:p>
        </w:tc>
      </w:tr>
    </w:tbl>
    <w:p w14:paraId="7B166C2B">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采购代理机构不接受电报、电话、电传、传真、邮寄报价。</w:t>
      </w:r>
    </w:p>
    <w:p w14:paraId="665B2CD6">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报价有效期</w:t>
      </w:r>
    </w:p>
    <w:p w14:paraId="6D836341">
      <w:pPr>
        <w:snapToGrid w:val="0"/>
        <w:spacing w:line="360" w:lineRule="auto"/>
        <w:rPr>
          <w:rFonts w:ascii="宋体" w:hAnsi="宋体"/>
          <w:color w:val="auto"/>
          <w:szCs w:val="21"/>
        </w:rPr>
      </w:pPr>
      <w:r>
        <w:rPr>
          <w:rFonts w:hint="eastAsia" w:ascii="宋体" w:hAnsi="宋体"/>
          <w:color w:val="auto"/>
          <w:szCs w:val="21"/>
        </w:rPr>
        <w:t xml:space="preserve">    从报价截止日起，报价有效期为90天。在特殊情况下，采购代理机构可于报价有效期满之前要求响应供应商同意延长有效期，要求与答复均应以书面形式。响应供应商可以拒绝上述要求而其保证金不被没收，同意延期的响应供应商根据原截止期所享有的权利及其所负有的义务相应也延至新的截止期。</w:t>
      </w:r>
    </w:p>
    <w:p w14:paraId="6663146E">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保证金</w:t>
      </w:r>
    </w:p>
    <w:p w14:paraId="295E9221">
      <w:pPr>
        <w:numPr>
          <w:ilvl w:val="2"/>
          <w:numId w:val="3"/>
        </w:numPr>
        <w:tabs>
          <w:tab w:val="left" w:pos="720"/>
        </w:tabs>
        <w:snapToGrid w:val="0"/>
        <w:spacing w:line="360" w:lineRule="auto"/>
        <w:ind w:left="720" w:hanging="720"/>
        <w:rPr>
          <w:rFonts w:ascii="宋体" w:hAnsi="宋体"/>
          <w:bCs/>
          <w:color w:val="auto"/>
          <w:szCs w:val="21"/>
        </w:rPr>
      </w:pPr>
      <w:r>
        <w:rPr>
          <w:rFonts w:hint="eastAsia" w:ascii="宋体" w:hAnsi="宋体"/>
          <w:color w:val="auto"/>
          <w:szCs w:val="21"/>
        </w:rPr>
        <w:t>本项目不设投标保证金，无需递交</w:t>
      </w:r>
      <w:r>
        <w:rPr>
          <w:rFonts w:hint="eastAsia" w:ascii="宋体" w:hAnsi="宋体"/>
          <w:bCs/>
          <w:color w:val="auto"/>
          <w:szCs w:val="21"/>
        </w:rPr>
        <w:t>。</w:t>
      </w:r>
    </w:p>
    <w:p w14:paraId="5E67E04B">
      <w:pPr>
        <w:pStyle w:val="4"/>
        <w:numPr>
          <w:ilvl w:val="0"/>
          <w:numId w:val="3"/>
        </w:numPr>
        <w:autoSpaceDE/>
        <w:autoSpaceDN/>
        <w:adjustRightInd/>
        <w:spacing w:before="260"/>
        <w:textAlignment w:val="auto"/>
        <w:rPr>
          <w:color w:val="auto"/>
          <w:sz w:val="21"/>
          <w:szCs w:val="21"/>
        </w:rPr>
      </w:pPr>
      <w:r>
        <w:rPr>
          <w:rFonts w:hint="eastAsia"/>
          <w:color w:val="auto"/>
          <w:sz w:val="21"/>
          <w:szCs w:val="21"/>
        </w:rPr>
        <w:t>磋商、成交与签约</w:t>
      </w:r>
    </w:p>
    <w:p w14:paraId="770AF7C9">
      <w:pPr>
        <w:tabs>
          <w:tab w:val="left" w:pos="624"/>
          <w:tab w:val="left" w:pos="720"/>
        </w:tabs>
        <w:snapToGrid w:val="0"/>
        <w:spacing w:line="360" w:lineRule="auto"/>
        <w:rPr>
          <w:rFonts w:ascii="宋体" w:hAnsi="宋体"/>
          <w:color w:val="auto"/>
          <w:szCs w:val="21"/>
        </w:rPr>
      </w:pPr>
      <w:r>
        <w:rPr>
          <w:rFonts w:hint="eastAsia" w:ascii="宋体" w:hAnsi="宋体"/>
          <w:color w:val="auto"/>
          <w:szCs w:val="21"/>
        </w:rPr>
        <w:t>详见《第五章 磋商细则》</w:t>
      </w:r>
    </w:p>
    <w:p w14:paraId="073DE7AD">
      <w:pPr>
        <w:pStyle w:val="4"/>
        <w:numPr>
          <w:ilvl w:val="0"/>
          <w:numId w:val="3"/>
        </w:numPr>
        <w:autoSpaceDE/>
        <w:autoSpaceDN/>
        <w:adjustRightInd/>
        <w:spacing w:before="260"/>
        <w:textAlignment w:val="auto"/>
        <w:rPr>
          <w:color w:val="auto"/>
          <w:sz w:val="21"/>
          <w:szCs w:val="21"/>
        </w:rPr>
      </w:pPr>
      <w:bookmarkStart w:id="28" w:name="_Toc56855654"/>
      <w:bookmarkStart w:id="29" w:name="_Toc56938702"/>
      <w:bookmarkStart w:id="30" w:name="_Toc56855622"/>
      <w:bookmarkStart w:id="31" w:name="_Toc27840476"/>
      <w:r>
        <w:rPr>
          <w:rFonts w:hint="eastAsia"/>
          <w:color w:val="auto"/>
          <w:sz w:val="21"/>
          <w:szCs w:val="21"/>
        </w:rPr>
        <w:t>采购代理服务费</w:t>
      </w:r>
      <w:bookmarkEnd w:id="28"/>
      <w:bookmarkEnd w:id="29"/>
      <w:bookmarkEnd w:id="30"/>
    </w:p>
    <w:p w14:paraId="659CD2E5">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成交供应商在领取《成交通知书》之前须向采购代理机构交纳的服务费，收费标准参照中华人民共和国国家计划发展委员会颁布的《招标代理服务收费管理暂行办法》（计价格[2002]1980号）执行（不足五千元按五千元收取）。本项目类型为</w:t>
      </w:r>
      <w:r>
        <w:rPr>
          <w:rFonts w:hint="eastAsia" w:ascii="宋体" w:hAnsi="宋体"/>
          <w:color w:val="auto"/>
          <w:szCs w:val="21"/>
          <w:u w:val="single"/>
          <w:lang w:val="en-US" w:eastAsia="zh-CN"/>
        </w:rPr>
        <w:t>工程</w:t>
      </w:r>
      <w:r>
        <w:rPr>
          <w:rFonts w:hint="eastAsia" w:ascii="宋体" w:hAnsi="宋体"/>
          <w:color w:val="auto"/>
          <w:szCs w:val="21"/>
          <w:u w:val="single"/>
        </w:rPr>
        <w:t>类</w:t>
      </w:r>
      <w:r>
        <w:rPr>
          <w:rFonts w:hint="eastAsia" w:ascii="宋体" w:hAnsi="宋体"/>
          <w:color w:val="auto"/>
          <w:szCs w:val="21"/>
        </w:rPr>
        <w:t>：</w:t>
      </w:r>
    </w:p>
    <w:p w14:paraId="14F5A695">
      <w:pPr>
        <w:tabs>
          <w:tab w:val="left" w:pos="1182"/>
        </w:tabs>
        <w:snapToGrid w:val="0"/>
        <w:spacing w:line="360" w:lineRule="auto"/>
        <w:ind w:right="-317" w:rightChars="-151"/>
        <w:rPr>
          <w:rFonts w:ascii="宋体" w:hAnsi="宋体"/>
          <w:bCs/>
          <w:color w:val="auto"/>
          <w:spacing w:val="-4"/>
          <w:szCs w:val="21"/>
        </w:rPr>
      </w:pPr>
      <w:r>
        <w:rPr>
          <w:rFonts w:hint="eastAsia" w:ascii="宋体" w:hAnsi="宋体"/>
          <w:bCs/>
          <w:color w:val="auto"/>
          <w:spacing w:val="-4"/>
          <w:szCs w:val="21"/>
        </w:rPr>
        <w:t>（1）以《成交通知书》确定的成交总金额作为收费的计算基数，按差额定率累进法计算。</w:t>
      </w:r>
    </w:p>
    <w:p w14:paraId="0A2F2CBE">
      <w:pPr>
        <w:tabs>
          <w:tab w:val="left" w:pos="1182"/>
        </w:tabs>
        <w:snapToGrid w:val="0"/>
        <w:spacing w:line="360" w:lineRule="auto"/>
        <w:ind w:right="-317" w:rightChars="-151"/>
        <w:rPr>
          <w:rFonts w:ascii="宋体" w:hAnsi="宋体"/>
          <w:bCs/>
          <w:color w:val="auto"/>
          <w:spacing w:val="-4"/>
          <w:szCs w:val="21"/>
        </w:rPr>
      </w:pPr>
      <w:r>
        <w:rPr>
          <w:rFonts w:hint="eastAsia" w:ascii="宋体" w:hAnsi="宋体"/>
          <w:bCs/>
          <w:color w:val="auto"/>
          <w:spacing w:val="-4"/>
          <w:szCs w:val="21"/>
        </w:rPr>
        <w:t>（2）成交金额的各部分费率如下表：</w:t>
      </w:r>
    </w:p>
    <w:tbl>
      <w:tblPr>
        <w:tblStyle w:val="37"/>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3757"/>
      </w:tblGrid>
      <w:tr w14:paraId="3261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Pr>
          <w:p w14:paraId="6859D5E7">
            <w:pPr>
              <w:spacing w:before="50" w:after="50" w:line="400" w:lineRule="exact"/>
              <w:jc w:val="center"/>
              <w:rPr>
                <w:rFonts w:ascii="宋体" w:hAnsi="宋体" w:eastAsia="Times New Roman"/>
                <w:color w:val="auto"/>
                <w:kern w:val="0"/>
                <w:sz w:val="20"/>
                <w:szCs w:val="21"/>
              </w:rPr>
            </w:pPr>
            <w:r>
              <w:rPr>
                <w:rFonts w:hint="eastAsia" w:ascii="宋体" w:hAnsi="宋体" w:eastAsia="Times New Roman"/>
                <w:color w:val="auto"/>
                <w:kern w:val="0"/>
                <w:sz w:val="20"/>
                <w:szCs w:val="21"/>
              </w:rPr>
              <w:t>成交金额（万元人民币）</w:t>
            </w:r>
          </w:p>
        </w:tc>
        <w:tc>
          <w:tcPr>
            <w:tcW w:w="3757" w:type="dxa"/>
          </w:tcPr>
          <w:p w14:paraId="2BAD0DFC">
            <w:pPr>
              <w:spacing w:before="50" w:after="50" w:line="400" w:lineRule="exact"/>
              <w:jc w:val="center"/>
              <w:rPr>
                <w:rFonts w:ascii="宋体" w:hAnsi="宋体" w:eastAsia="Times New Roman"/>
                <w:color w:val="auto"/>
                <w:kern w:val="0"/>
                <w:sz w:val="20"/>
                <w:szCs w:val="21"/>
              </w:rPr>
            </w:pPr>
            <w:r>
              <w:rPr>
                <w:rFonts w:hint="eastAsia" w:ascii="宋体" w:hAnsi="宋体" w:eastAsia="宋体"/>
                <w:color w:val="auto"/>
                <w:kern w:val="0"/>
                <w:sz w:val="20"/>
                <w:szCs w:val="21"/>
                <w:lang w:val="en-US" w:eastAsia="zh-CN"/>
              </w:rPr>
              <w:t>工程</w:t>
            </w:r>
            <w:r>
              <w:rPr>
                <w:rFonts w:ascii="宋体" w:hAnsi="宋体" w:eastAsia="Times New Roman"/>
                <w:color w:val="auto"/>
                <w:kern w:val="0"/>
                <w:sz w:val="20"/>
                <w:szCs w:val="21"/>
              </w:rPr>
              <w:t>招标</w:t>
            </w:r>
            <w:r>
              <w:rPr>
                <w:rFonts w:hint="eastAsia" w:ascii="宋体" w:hAnsi="宋体" w:eastAsia="Times New Roman"/>
                <w:color w:val="auto"/>
                <w:kern w:val="0"/>
                <w:sz w:val="20"/>
                <w:szCs w:val="21"/>
              </w:rPr>
              <w:t>费率</w:t>
            </w:r>
          </w:p>
        </w:tc>
      </w:tr>
      <w:tr w14:paraId="5E1B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14:paraId="3CCB1B75">
            <w:pPr>
              <w:spacing w:line="400" w:lineRule="exact"/>
              <w:jc w:val="center"/>
              <w:rPr>
                <w:rFonts w:ascii="宋体" w:hAnsi="宋体" w:eastAsia="Times New Roman"/>
                <w:color w:val="auto"/>
                <w:kern w:val="0"/>
                <w:sz w:val="20"/>
                <w:szCs w:val="21"/>
              </w:rPr>
            </w:pPr>
            <w:r>
              <w:rPr>
                <w:rFonts w:ascii="宋体" w:hAnsi="宋体" w:eastAsia="Times New Roman"/>
                <w:color w:val="auto"/>
                <w:kern w:val="0"/>
                <w:sz w:val="20"/>
                <w:szCs w:val="21"/>
              </w:rPr>
              <w:t>100以下</w:t>
            </w:r>
            <w:r>
              <w:rPr>
                <w:rFonts w:hint="eastAsia" w:ascii="宋体" w:hAnsi="宋体" w:eastAsia="Times New Roman"/>
                <w:color w:val="auto"/>
                <w:kern w:val="0"/>
                <w:sz w:val="20"/>
                <w:szCs w:val="21"/>
              </w:rPr>
              <w:t>部分</w:t>
            </w:r>
          </w:p>
        </w:tc>
        <w:tc>
          <w:tcPr>
            <w:tcW w:w="3757" w:type="dxa"/>
            <w:vAlign w:val="center"/>
          </w:tcPr>
          <w:p w14:paraId="50731F8A">
            <w:pPr>
              <w:spacing w:line="400" w:lineRule="exact"/>
              <w:jc w:val="center"/>
              <w:rPr>
                <w:rFonts w:ascii="宋体" w:hAnsi="宋体" w:eastAsia="Times New Roman"/>
                <w:color w:val="auto"/>
                <w:kern w:val="0"/>
                <w:sz w:val="20"/>
                <w:szCs w:val="21"/>
              </w:rPr>
            </w:pPr>
            <w:r>
              <w:rPr>
                <w:rFonts w:ascii="宋体" w:hAnsi="宋体" w:eastAsia="Times New Roman"/>
                <w:color w:val="auto"/>
                <w:kern w:val="0"/>
                <w:sz w:val="20"/>
                <w:szCs w:val="21"/>
              </w:rPr>
              <w:t>1.</w:t>
            </w:r>
            <w:r>
              <w:rPr>
                <w:rFonts w:hint="eastAsia" w:ascii="宋体" w:hAnsi="宋体" w:eastAsia="宋体"/>
                <w:color w:val="auto"/>
                <w:kern w:val="0"/>
                <w:sz w:val="20"/>
                <w:szCs w:val="21"/>
                <w:lang w:val="en-US" w:eastAsia="zh-CN"/>
              </w:rPr>
              <w:t>0</w:t>
            </w:r>
            <w:r>
              <w:rPr>
                <w:rFonts w:ascii="宋体" w:hAnsi="宋体" w:eastAsia="Times New Roman"/>
                <w:color w:val="auto"/>
                <w:kern w:val="0"/>
                <w:sz w:val="20"/>
                <w:szCs w:val="21"/>
              </w:rPr>
              <w:t>%</w:t>
            </w:r>
          </w:p>
        </w:tc>
      </w:tr>
      <w:tr w14:paraId="0150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14:paraId="773883F6">
            <w:pPr>
              <w:spacing w:line="400" w:lineRule="exact"/>
              <w:jc w:val="center"/>
              <w:rPr>
                <w:rFonts w:ascii="宋体" w:hAnsi="宋体" w:eastAsia="Times New Roman"/>
                <w:color w:val="auto"/>
                <w:kern w:val="0"/>
                <w:sz w:val="20"/>
                <w:szCs w:val="21"/>
              </w:rPr>
            </w:pPr>
            <w:r>
              <w:rPr>
                <w:rFonts w:ascii="宋体" w:hAnsi="宋体" w:eastAsia="Times New Roman"/>
                <w:color w:val="auto"/>
                <w:kern w:val="0"/>
                <w:sz w:val="20"/>
                <w:szCs w:val="21"/>
              </w:rPr>
              <w:t>100-500</w:t>
            </w:r>
            <w:r>
              <w:rPr>
                <w:rFonts w:hint="eastAsia" w:ascii="宋体" w:hAnsi="宋体" w:eastAsia="Times New Roman"/>
                <w:color w:val="auto"/>
                <w:kern w:val="0"/>
                <w:sz w:val="20"/>
                <w:szCs w:val="21"/>
              </w:rPr>
              <w:t>部分</w:t>
            </w:r>
          </w:p>
        </w:tc>
        <w:tc>
          <w:tcPr>
            <w:tcW w:w="3757" w:type="dxa"/>
            <w:vAlign w:val="center"/>
          </w:tcPr>
          <w:p w14:paraId="72A616F5">
            <w:pPr>
              <w:spacing w:line="400" w:lineRule="exact"/>
              <w:jc w:val="center"/>
              <w:rPr>
                <w:rFonts w:ascii="宋体" w:hAnsi="宋体" w:eastAsia="Times New Roman"/>
                <w:color w:val="auto"/>
                <w:kern w:val="0"/>
                <w:sz w:val="20"/>
                <w:szCs w:val="21"/>
              </w:rPr>
            </w:pPr>
            <w:r>
              <w:rPr>
                <w:rFonts w:ascii="宋体" w:hAnsi="宋体" w:eastAsia="Times New Roman"/>
                <w:color w:val="auto"/>
                <w:kern w:val="0"/>
                <w:sz w:val="20"/>
                <w:szCs w:val="21"/>
              </w:rPr>
              <w:t>0.</w:t>
            </w:r>
            <w:r>
              <w:rPr>
                <w:rFonts w:hint="eastAsia" w:ascii="宋体" w:hAnsi="宋体" w:eastAsia="宋体"/>
                <w:color w:val="auto"/>
                <w:kern w:val="0"/>
                <w:sz w:val="20"/>
                <w:szCs w:val="21"/>
                <w:lang w:val="en-US" w:eastAsia="zh-CN"/>
              </w:rPr>
              <w:t>7</w:t>
            </w:r>
            <w:r>
              <w:rPr>
                <w:rFonts w:ascii="宋体" w:hAnsi="宋体" w:eastAsia="Times New Roman"/>
                <w:color w:val="auto"/>
                <w:kern w:val="0"/>
                <w:sz w:val="20"/>
                <w:szCs w:val="21"/>
              </w:rPr>
              <w:t>%</w:t>
            </w:r>
          </w:p>
        </w:tc>
      </w:tr>
    </w:tbl>
    <w:p w14:paraId="5E9DB6F6">
      <w:pPr>
        <w:snapToGrid w:val="0"/>
        <w:spacing w:before="50" w:after="50" w:line="360" w:lineRule="auto"/>
        <w:rPr>
          <w:rFonts w:ascii="宋体" w:hAnsi="宋体"/>
          <w:color w:val="auto"/>
          <w:szCs w:val="21"/>
        </w:rPr>
      </w:pPr>
      <w:r>
        <w:rPr>
          <w:rFonts w:hint="eastAsia" w:ascii="宋体" w:hAnsi="宋体"/>
          <w:color w:val="auto"/>
          <w:szCs w:val="21"/>
        </w:rPr>
        <w:t>（3）币种与《成交通知书》的币种相同。</w:t>
      </w:r>
    </w:p>
    <w:p w14:paraId="232EC514">
      <w:pPr>
        <w:snapToGrid w:val="0"/>
        <w:spacing w:before="50" w:after="50" w:line="360" w:lineRule="auto"/>
        <w:rPr>
          <w:rFonts w:ascii="宋体" w:hAnsi="宋体"/>
          <w:color w:val="auto"/>
          <w:szCs w:val="21"/>
        </w:rPr>
      </w:pPr>
      <w:r>
        <w:rPr>
          <w:rFonts w:hint="eastAsia" w:ascii="宋体" w:hAnsi="宋体"/>
          <w:color w:val="auto"/>
          <w:szCs w:val="21"/>
        </w:rPr>
        <w:t>（4）成交单位成交后，必须按规定向采购代理机构直接缴交采购服务费。成交单位不按规定交纳服务费的，采购代理机构将以成交单位的报价保证金抵扣服务费，不足部分采购代理机构保留进一步追索权利。</w:t>
      </w:r>
    </w:p>
    <w:p w14:paraId="11DA0910">
      <w:pPr>
        <w:snapToGrid w:val="0"/>
        <w:spacing w:line="360" w:lineRule="auto"/>
        <w:rPr>
          <w:rFonts w:ascii="宋体" w:hAnsi="宋体"/>
          <w:color w:val="auto"/>
          <w:szCs w:val="21"/>
        </w:rPr>
      </w:pPr>
      <w:r>
        <w:rPr>
          <w:rFonts w:hint="eastAsia" w:ascii="宋体" w:hAnsi="宋体"/>
          <w:color w:val="auto"/>
          <w:szCs w:val="21"/>
        </w:rPr>
        <w:t>（5）服务费不在报价中单列。</w:t>
      </w:r>
    </w:p>
    <w:p w14:paraId="707938EE">
      <w:pPr>
        <w:snapToGrid w:val="0"/>
        <w:spacing w:line="360" w:lineRule="auto"/>
        <w:rPr>
          <w:rFonts w:ascii="宋体" w:hAnsi="宋体"/>
          <w:color w:val="auto"/>
          <w:szCs w:val="21"/>
        </w:rPr>
      </w:pPr>
      <w:r>
        <w:rPr>
          <w:rFonts w:hint="eastAsia" w:ascii="宋体" w:hAnsi="宋体"/>
          <w:bCs/>
          <w:color w:val="auto"/>
          <w:szCs w:val="21"/>
        </w:rPr>
        <w:t>（6）经依法取消或放弃成交资格的，采购代理服务费不予退还。</w:t>
      </w:r>
    </w:p>
    <w:p w14:paraId="0F6A5C76">
      <w:pPr>
        <w:pStyle w:val="4"/>
        <w:autoSpaceDE/>
        <w:autoSpaceDN/>
        <w:adjustRightInd/>
        <w:spacing w:before="260"/>
        <w:textAlignment w:val="auto"/>
        <w:rPr>
          <w:color w:val="auto"/>
          <w:sz w:val="21"/>
          <w:szCs w:val="21"/>
        </w:rPr>
      </w:pPr>
      <w:bookmarkStart w:id="32" w:name="_Toc387076653"/>
      <w:bookmarkStart w:id="33" w:name="_Toc134956124"/>
      <w:r>
        <w:rPr>
          <w:rFonts w:hint="eastAsia"/>
          <w:color w:val="auto"/>
          <w:sz w:val="21"/>
          <w:szCs w:val="21"/>
        </w:rPr>
        <w:t>7.询问、质疑</w:t>
      </w:r>
      <w:bookmarkEnd w:id="32"/>
      <w:bookmarkEnd w:id="33"/>
      <w:r>
        <w:rPr>
          <w:rFonts w:hint="eastAsia"/>
          <w:color w:val="auto"/>
          <w:sz w:val="21"/>
          <w:szCs w:val="21"/>
        </w:rPr>
        <w:t>与投诉</w:t>
      </w:r>
    </w:p>
    <w:p w14:paraId="2E297B38">
      <w:pPr>
        <w:snapToGrid w:val="0"/>
        <w:spacing w:before="50" w:after="50" w:line="360" w:lineRule="auto"/>
        <w:ind w:firstLine="420" w:firstLineChars="200"/>
        <w:rPr>
          <w:rFonts w:ascii="宋体" w:hAnsi="宋体"/>
          <w:bCs/>
          <w:color w:val="auto"/>
          <w:szCs w:val="21"/>
        </w:rPr>
      </w:pPr>
      <w:bookmarkStart w:id="34" w:name="_Toc134955411"/>
      <w:r>
        <w:rPr>
          <w:rFonts w:hint="eastAsia" w:ascii="宋体" w:hAnsi="宋体"/>
          <w:bCs/>
          <w:color w:val="auto"/>
          <w:szCs w:val="21"/>
        </w:rPr>
        <w:t>7.1供应商可以向代理机构提出询问和质疑，代理机构依照相关规定就采购人委托授权范围内的事项作出答复。</w:t>
      </w:r>
    </w:p>
    <w:p w14:paraId="4ADAB86D">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7.2供应商认为磋商文件的内容损害其权益的，可以在磋商文件公示期间或者自期满之日起7个工作日内以书面形式向采购人或代理机构提出质疑，逾期质疑无效。</w:t>
      </w:r>
    </w:p>
    <w:p w14:paraId="68F3BB0B">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7.3</w:t>
      </w:r>
      <w:r>
        <w:rPr>
          <w:rFonts w:ascii="宋体" w:hAnsi="宋体"/>
          <w:color w:val="auto"/>
          <w:szCs w:val="21"/>
        </w:rPr>
        <w:t>供应商在法定质疑期内</w:t>
      </w:r>
      <w:r>
        <w:rPr>
          <w:rFonts w:hint="eastAsia" w:ascii="宋体" w:hAnsi="宋体"/>
          <w:color w:val="auto"/>
          <w:szCs w:val="21"/>
        </w:rPr>
        <w:t>须</w:t>
      </w:r>
      <w:r>
        <w:rPr>
          <w:rFonts w:ascii="宋体" w:hAnsi="宋体"/>
          <w:color w:val="auto"/>
          <w:szCs w:val="21"/>
        </w:rPr>
        <w:t>一次性提出针对同一采购程序环节的质疑。</w:t>
      </w:r>
    </w:p>
    <w:p w14:paraId="47BDF3AF">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7.4供应商认为磋商过程和成交结果使自己的权益受到损害的，可以在知道或者应知其权益受到损害之日起7个工作日内，以书面形式向采购人或代理机构提出质疑，逾期质疑无效。</w:t>
      </w:r>
      <w:bookmarkEnd w:id="34"/>
    </w:p>
    <w:p w14:paraId="499F6EA6">
      <w:pPr>
        <w:snapToGrid w:val="0"/>
        <w:spacing w:before="50" w:after="50" w:line="360" w:lineRule="auto"/>
        <w:ind w:firstLine="420" w:firstLineChars="200"/>
        <w:rPr>
          <w:rFonts w:ascii="宋体" w:hAnsi="宋体"/>
          <w:color w:val="auto"/>
          <w:szCs w:val="21"/>
        </w:rPr>
      </w:pPr>
      <w:r>
        <w:rPr>
          <w:rFonts w:hint="eastAsia" w:ascii="宋体" w:hAnsi="宋体"/>
          <w:color w:val="auto"/>
        </w:rPr>
        <w:t>7.5质疑函应当署名。质疑</w:t>
      </w:r>
      <w:r>
        <w:rPr>
          <w:rFonts w:hint="eastAsia" w:ascii="宋体" w:hAnsi="宋体"/>
          <w:color w:val="auto"/>
          <w:szCs w:val="21"/>
        </w:rPr>
        <w:t>供应商</w:t>
      </w:r>
      <w:r>
        <w:rPr>
          <w:rFonts w:hint="eastAsia" w:ascii="宋体" w:hAnsi="宋体"/>
          <w:color w:val="auto"/>
        </w:rPr>
        <w:t>为自然人的，应当由本人签字并以右手食指手指手印作为确认；质疑</w:t>
      </w:r>
      <w:r>
        <w:rPr>
          <w:rFonts w:hint="eastAsia" w:ascii="宋体" w:hAnsi="宋体"/>
          <w:color w:val="auto"/>
          <w:szCs w:val="21"/>
        </w:rPr>
        <w:t>供应商</w:t>
      </w:r>
      <w:r>
        <w:rPr>
          <w:rFonts w:hint="eastAsia" w:ascii="宋体" w:hAnsi="宋体"/>
          <w:color w:val="auto"/>
        </w:rPr>
        <w:t>为法人或者其他组织的，应当由法定代表人签字并加盖公章。</w:t>
      </w:r>
      <w:r>
        <w:rPr>
          <w:rFonts w:hint="eastAsia" w:ascii="宋体" w:hAnsi="宋体"/>
          <w:color w:val="auto"/>
          <w:szCs w:val="21"/>
        </w:rPr>
        <w:t>质疑内容不得含有虚假、恶意成份。依照谁主张谁举证的原则，提出质疑者必须同时提交相关确凿的证据材料和注明证据的确切来源，证据来源必须合法，代理机构有权将质疑函转发质疑事项各关联方，请其作出解释说明。对捏造事实、滥用维权扰乱采购秩序的恶意质疑者，将上报政府采购监督管理部门依法处理。</w:t>
      </w:r>
    </w:p>
    <w:p w14:paraId="21C6CD8A">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7.6质疑供应商对采购人、代理机构的质疑答复不满意，或者采购人、代理机构未在规定期限内作出答复的，可以在答复期满后15个工作日内向采购人的同级政府采购监督管理部门提起投诉。</w:t>
      </w:r>
    </w:p>
    <w:p w14:paraId="1CC631A4">
      <w:pPr>
        <w:snapToGrid w:val="0"/>
        <w:spacing w:line="360" w:lineRule="auto"/>
        <w:ind w:right="25" w:rightChars="12" w:firstLine="420" w:firstLineChars="200"/>
        <w:rPr>
          <w:rFonts w:ascii="宋体" w:hAnsi="宋体"/>
          <w:bCs/>
          <w:color w:val="auto"/>
          <w:szCs w:val="21"/>
        </w:rPr>
      </w:pPr>
      <w:r>
        <w:rPr>
          <w:rFonts w:hint="eastAsia" w:ascii="宋体" w:hAnsi="宋体"/>
          <w:color w:val="auto"/>
          <w:szCs w:val="21"/>
        </w:rPr>
        <w:t>7.7询问及质疑函应按相应格式进行填写及签署，并递交书面文件至代理机构，没有签署的质疑函将不予受理。具体格式详见http：//www.gzqunsheng.com/常用文件一栏。</w:t>
      </w:r>
    </w:p>
    <w:p w14:paraId="2D80464E">
      <w:pPr>
        <w:snapToGrid w:val="0"/>
        <w:spacing w:line="360" w:lineRule="auto"/>
        <w:ind w:right="-317" w:rightChars="-151" w:firstLine="420" w:firstLineChars="200"/>
        <w:rPr>
          <w:rFonts w:ascii="宋体" w:hAnsi="宋体"/>
          <w:color w:val="auto"/>
          <w:szCs w:val="21"/>
        </w:rPr>
      </w:pPr>
      <w:r>
        <w:rPr>
          <w:rFonts w:hint="eastAsia" w:ascii="宋体" w:hAnsi="宋体"/>
          <w:color w:val="auto"/>
          <w:szCs w:val="21"/>
        </w:rPr>
        <w:t>7.8询问、质疑受理单位：</w:t>
      </w:r>
      <w:r>
        <w:rPr>
          <w:rFonts w:hint="eastAsia" w:ascii="宋体" w:hAnsi="宋体"/>
          <w:color w:val="auto"/>
          <w:szCs w:val="21"/>
          <w:lang w:eastAsia="zh-CN"/>
        </w:rPr>
        <w:t>广州群生招标代理有限公司韶关分公司</w:t>
      </w:r>
      <w:r>
        <w:rPr>
          <w:rFonts w:hint="eastAsia" w:ascii="宋体" w:hAnsi="宋体"/>
          <w:color w:val="auto"/>
          <w:szCs w:val="21"/>
        </w:rPr>
        <w:t>，联系电话：（0751）8887218。</w:t>
      </w:r>
    </w:p>
    <w:p w14:paraId="110BAD89">
      <w:pPr>
        <w:pStyle w:val="2"/>
        <w:spacing w:line="360" w:lineRule="auto"/>
        <w:jc w:val="center"/>
        <w:rPr>
          <w:rFonts w:ascii="宋体" w:hAnsi="宋体"/>
          <w:color w:val="auto"/>
          <w:sz w:val="32"/>
          <w:szCs w:val="32"/>
        </w:rPr>
      </w:pPr>
      <w:bookmarkStart w:id="35" w:name="_Toc17252682"/>
      <w:bookmarkStart w:id="36" w:name="_Toc14450813"/>
      <w:bookmarkStart w:id="37" w:name="_Toc30476633"/>
      <w:r>
        <w:rPr>
          <w:rFonts w:hint="eastAsia" w:ascii="宋体" w:hAnsi="宋体"/>
          <w:color w:val="auto"/>
          <w:sz w:val="32"/>
          <w:szCs w:val="32"/>
        </w:rPr>
        <w:br w:type="page"/>
      </w:r>
      <w:bookmarkStart w:id="38" w:name="_Toc461991233"/>
      <w:r>
        <w:rPr>
          <w:rFonts w:hint="eastAsia" w:ascii="宋体" w:hAnsi="宋体"/>
          <w:color w:val="auto"/>
          <w:sz w:val="32"/>
          <w:szCs w:val="32"/>
        </w:rPr>
        <w:t>第三章</w:t>
      </w:r>
      <w:bookmarkStart w:id="39" w:name="_Toc10525517"/>
      <w:r>
        <w:rPr>
          <w:rFonts w:hint="eastAsia" w:ascii="宋体" w:hAnsi="宋体"/>
          <w:color w:val="auto"/>
          <w:sz w:val="32"/>
          <w:szCs w:val="32"/>
        </w:rPr>
        <w:t xml:space="preserve"> 采购人需求</w:t>
      </w:r>
      <w:bookmarkEnd w:id="31"/>
      <w:bookmarkEnd w:id="35"/>
      <w:bookmarkEnd w:id="36"/>
      <w:bookmarkEnd w:id="37"/>
      <w:bookmarkEnd w:id="38"/>
      <w:bookmarkEnd w:id="39"/>
      <w:bookmarkStart w:id="40" w:name="_Toc30476634"/>
      <w:bookmarkStart w:id="41" w:name="_Toc27840477"/>
    </w:p>
    <w:bookmarkEnd w:id="40"/>
    <w:bookmarkEnd w:id="41"/>
    <w:p w14:paraId="1EA7C177">
      <w:pPr>
        <w:pStyle w:val="130"/>
        <w:adjustRightInd w:val="0"/>
        <w:snapToGrid w:val="0"/>
        <w:spacing w:line="360" w:lineRule="auto"/>
        <w:ind w:firstLine="422" w:firstLineChars="200"/>
        <w:outlineLvl w:val="2"/>
        <w:rPr>
          <w:rFonts w:hint="default" w:ascii="宋体" w:hAnsi="宋体" w:eastAsia="宋体" w:cs="宋体"/>
          <w:color w:val="auto"/>
          <w:sz w:val="21"/>
          <w:szCs w:val="21"/>
        </w:rPr>
      </w:pPr>
      <w:bookmarkStart w:id="42" w:name="_Toc461991234"/>
      <w:bookmarkStart w:id="43" w:name="_Toc19099503"/>
      <w:bookmarkStart w:id="44" w:name="_Toc11771771"/>
      <w:bookmarkStart w:id="45" w:name="_Toc11771900"/>
      <w:bookmarkStart w:id="46" w:name="_Toc12330396"/>
      <w:bookmarkStart w:id="47" w:name="_Toc13884769"/>
      <w:bookmarkStart w:id="48" w:name="_Toc12861158"/>
      <w:bookmarkStart w:id="49" w:name="_Toc12378037"/>
      <w:bookmarkStart w:id="50" w:name="_Toc27840483"/>
      <w:r>
        <w:rPr>
          <w:rFonts w:ascii="宋体" w:hAnsi="宋体" w:eastAsia="宋体" w:cs="宋体"/>
          <w:b/>
          <w:color w:val="auto"/>
          <w:sz w:val="21"/>
          <w:szCs w:val="21"/>
        </w:rPr>
        <w:t>一、项目概况：</w:t>
      </w:r>
    </w:p>
    <w:p w14:paraId="73556ED3">
      <w:pPr>
        <w:pStyle w:val="130"/>
        <w:adjustRightInd w:val="0"/>
        <w:snapToGrid w:val="0"/>
        <w:spacing w:line="360" w:lineRule="auto"/>
        <w:ind w:firstLine="420" w:firstLineChars="200"/>
        <w:rPr>
          <w:rFonts w:hint="default" w:ascii="宋体" w:hAnsi="宋体" w:eastAsia="宋体" w:cs="宋体"/>
          <w:color w:val="auto"/>
          <w:sz w:val="21"/>
          <w:szCs w:val="21"/>
        </w:rPr>
      </w:pPr>
      <w:r>
        <w:rPr>
          <w:rFonts w:ascii="宋体" w:hAnsi="宋体" w:eastAsia="宋体" w:cs="宋体"/>
          <w:color w:val="auto"/>
          <w:sz w:val="21"/>
          <w:szCs w:val="21"/>
        </w:rPr>
        <w:t>主要建设内容为：</w:t>
      </w:r>
      <w:bookmarkStart w:id="51" w:name="_Hlk168826628"/>
      <w:r>
        <w:rPr>
          <w:rFonts w:hint="eastAsia" w:ascii="宋体" w:hAnsi="宋体" w:eastAsia="宋体" w:cs="宋体"/>
          <w:color w:val="auto"/>
          <w:sz w:val="21"/>
          <w:szCs w:val="21"/>
          <w:lang w:val="en-US" w:eastAsia="zh-CN"/>
        </w:rPr>
        <w:t>建筑工程、安装工程、通风工程</w:t>
      </w:r>
      <w:r>
        <w:rPr>
          <w:rFonts w:ascii="宋体" w:hAnsi="宋体" w:eastAsia="宋体" w:cs="宋体"/>
          <w:color w:val="auto"/>
          <w:sz w:val="21"/>
          <w:szCs w:val="21"/>
        </w:rPr>
        <w:t>等</w:t>
      </w:r>
      <w:r>
        <w:rPr>
          <w:rFonts w:hint="eastAsia" w:ascii="宋体" w:hAnsi="宋体" w:eastAsia="宋体" w:cs="宋体"/>
          <w:color w:val="auto"/>
          <w:sz w:val="21"/>
          <w:szCs w:val="21"/>
          <w:lang w:val="en-US" w:eastAsia="zh-CN"/>
        </w:rPr>
        <w:t>内容</w:t>
      </w:r>
      <w:r>
        <w:rPr>
          <w:rFonts w:ascii="宋体" w:hAnsi="宋体" w:eastAsia="宋体" w:cs="宋体"/>
          <w:color w:val="auto"/>
          <w:sz w:val="21"/>
          <w:szCs w:val="21"/>
        </w:rPr>
        <w:t>，具体内容详见施工图和工程量清单。</w:t>
      </w:r>
      <w:bookmarkEnd w:id="51"/>
    </w:p>
    <w:p w14:paraId="5FCFDC0E">
      <w:pPr>
        <w:pStyle w:val="130"/>
        <w:adjustRightInd w:val="0"/>
        <w:snapToGrid w:val="0"/>
        <w:spacing w:line="360" w:lineRule="auto"/>
        <w:ind w:firstLine="420" w:firstLineChars="200"/>
        <w:rPr>
          <w:rFonts w:hint="default" w:ascii="宋体" w:hAnsi="宋体" w:eastAsia="宋体" w:cs="宋体"/>
          <w:color w:val="auto"/>
          <w:sz w:val="21"/>
          <w:szCs w:val="21"/>
        </w:rPr>
      </w:pPr>
      <w:r>
        <w:rPr>
          <w:rFonts w:ascii="宋体" w:hAnsi="宋体" w:eastAsia="宋体" w:cs="宋体"/>
          <w:color w:val="auto"/>
          <w:sz w:val="21"/>
          <w:szCs w:val="21"/>
        </w:rPr>
        <w:t>本项目招标控制价为：</w:t>
      </w:r>
      <w:r>
        <w:rPr>
          <w:rFonts w:hint="eastAsia" w:ascii="宋体" w:hAnsi="宋体" w:eastAsia="宋体" w:cs="宋体"/>
          <w:color w:val="auto"/>
          <w:sz w:val="21"/>
          <w:szCs w:val="21"/>
          <w:lang w:val="en-US" w:eastAsia="zh-CN"/>
        </w:rPr>
        <w:t>壹拾捌万肆仟叁佰玖拾伍元伍角肆分</w:t>
      </w:r>
      <w:r>
        <w:rPr>
          <w:rFonts w:ascii="宋体" w:hAnsi="宋体" w:eastAsia="宋体" w:cs="宋体"/>
          <w:color w:val="auto"/>
          <w:sz w:val="21"/>
          <w:szCs w:val="21"/>
        </w:rPr>
        <w:t>（¥</w:t>
      </w:r>
      <w:r>
        <w:rPr>
          <w:rFonts w:hint="eastAsia" w:ascii="宋体" w:hAnsi="宋体" w:eastAsia="宋体" w:cs="宋体"/>
          <w:color w:val="auto"/>
          <w:sz w:val="21"/>
          <w:szCs w:val="21"/>
          <w:lang w:eastAsia="zh-CN"/>
        </w:rPr>
        <w:t>184395.54</w:t>
      </w:r>
      <w:r>
        <w:rPr>
          <w:rFonts w:ascii="宋体" w:hAnsi="宋体" w:eastAsia="宋体" w:cs="宋体"/>
          <w:color w:val="auto"/>
          <w:sz w:val="21"/>
          <w:szCs w:val="21"/>
        </w:rPr>
        <w:t>元），其中绿色施工安全防护措施费为¥</w:t>
      </w:r>
      <w:r>
        <w:rPr>
          <w:rFonts w:hint="eastAsia" w:ascii="宋体" w:hAnsi="宋体" w:eastAsia="宋体" w:cs="宋体"/>
          <w:color w:val="auto"/>
          <w:sz w:val="21"/>
          <w:szCs w:val="21"/>
          <w:lang w:val="en-US" w:eastAsia="zh-CN"/>
        </w:rPr>
        <w:t>10618.37</w:t>
      </w:r>
      <w:r>
        <w:rPr>
          <w:rFonts w:ascii="宋体" w:hAnsi="宋体" w:eastAsia="宋体" w:cs="宋体"/>
          <w:color w:val="auto"/>
          <w:sz w:val="21"/>
          <w:szCs w:val="21"/>
        </w:rPr>
        <w:t>元；暂列金额为¥</w:t>
      </w:r>
      <w:r>
        <w:rPr>
          <w:rFonts w:hint="eastAsia" w:ascii="宋体" w:hAnsi="宋体" w:eastAsia="宋体" w:cs="宋体"/>
          <w:color w:val="auto"/>
          <w:sz w:val="21"/>
          <w:szCs w:val="21"/>
          <w:lang w:val="en-US" w:eastAsia="zh-CN"/>
        </w:rPr>
        <w:t>13338.82</w:t>
      </w:r>
      <w:r>
        <w:rPr>
          <w:rFonts w:ascii="宋体" w:hAnsi="宋体" w:eastAsia="宋体" w:cs="宋体"/>
          <w:color w:val="auto"/>
          <w:sz w:val="21"/>
          <w:szCs w:val="21"/>
        </w:rPr>
        <w:t>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暂估价为</w:t>
      </w: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8897.49</w:t>
      </w:r>
      <w:r>
        <w:rPr>
          <w:rFonts w:ascii="宋体" w:hAnsi="宋体" w:eastAsia="宋体" w:cs="宋体"/>
          <w:color w:val="auto"/>
          <w:sz w:val="21"/>
          <w:szCs w:val="21"/>
        </w:rPr>
        <w:t>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增值税计算税率为9%</w:t>
      </w:r>
      <w:r>
        <w:rPr>
          <w:rFonts w:ascii="宋体" w:hAnsi="宋体" w:eastAsia="宋体" w:cs="宋体"/>
          <w:color w:val="auto"/>
          <w:sz w:val="21"/>
          <w:szCs w:val="21"/>
        </w:rPr>
        <w:t>。</w:t>
      </w:r>
    </w:p>
    <w:p w14:paraId="0C67E224">
      <w:pPr>
        <w:pStyle w:val="130"/>
        <w:adjustRightInd w:val="0"/>
        <w:snapToGrid w:val="0"/>
        <w:spacing w:line="360" w:lineRule="auto"/>
        <w:ind w:firstLine="422" w:firstLineChars="200"/>
        <w:rPr>
          <w:rFonts w:hint="default" w:ascii="宋体" w:hAnsi="宋体" w:eastAsia="宋体" w:cs="宋体"/>
          <w:color w:val="auto"/>
          <w:sz w:val="21"/>
          <w:szCs w:val="21"/>
        </w:rPr>
      </w:pPr>
      <w:r>
        <w:rPr>
          <w:rFonts w:ascii="宋体" w:hAnsi="宋体" w:eastAsia="宋体" w:cs="宋体"/>
          <w:b/>
          <w:color w:val="auto"/>
          <w:sz w:val="21"/>
          <w:szCs w:val="21"/>
        </w:rPr>
        <w:t>注：1</w:t>
      </w:r>
      <w:r>
        <w:rPr>
          <w:rFonts w:ascii="宋体" w:hAnsi="宋体" w:eastAsia="宋体" w:cs="宋体"/>
          <w:b/>
          <w:color w:val="auto"/>
          <w:sz w:val="21"/>
          <w:szCs w:val="21"/>
          <w:lang w:eastAsia="zh-CN"/>
        </w:rPr>
        <w:t>.</w:t>
      </w:r>
      <w:r>
        <w:rPr>
          <w:rFonts w:ascii="宋体" w:hAnsi="宋体" w:eastAsia="宋体" w:cs="宋体"/>
          <w:b/>
          <w:color w:val="auto"/>
          <w:sz w:val="21"/>
          <w:szCs w:val="21"/>
        </w:rPr>
        <w:t>供应商的绿色施工安全防护措施费报价必须达到或超过本项目磋商文件中提供的绿色施工安全防护措施费，否则视为无效响应。</w:t>
      </w:r>
    </w:p>
    <w:p w14:paraId="64F365BD">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rPr>
        <w:t>2</w:t>
      </w:r>
      <w:r>
        <w:rPr>
          <w:rFonts w:ascii="宋体" w:hAnsi="宋体" w:eastAsia="宋体" w:cs="宋体"/>
          <w:b/>
          <w:color w:val="auto"/>
          <w:sz w:val="21"/>
          <w:szCs w:val="21"/>
          <w:lang w:eastAsia="zh-CN"/>
        </w:rPr>
        <w:t>.</w:t>
      </w:r>
      <w:r>
        <w:rPr>
          <w:rFonts w:ascii="宋体" w:hAnsi="宋体" w:eastAsia="宋体" w:cs="宋体"/>
          <w:b/>
          <w:color w:val="auto"/>
          <w:sz w:val="21"/>
          <w:szCs w:val="21"/>
        </w:rPr>
        <w:t>供应商必须按照本项目磋商文件中提供的暂列金额和暂估价统一报价，否则视为无效响应。</w:t>
      </w:r>
    </w:p>
    <w:p w14:paraId="08872602">
      <w:pPr>
        <w:pStyle w:val="130"/>
        <w:adjustRightInd w:val="0"/>
        <w:snapToGrid w:val="0"/>
        <w:spacing w:line="360" w:lineRule="auto"/>
        <w:ind w:firstLine="420" w:firstLineChars="200"/>
        <w:rPr>
          <w:rFonts w:hint="default" w:ascii="宋体" w:hAnsi="宋体" w:eastAsia="宋体" w:cs="宋体"/>
          <w:color w:val="auto"/>
          <w:sz w:val="21"/>
          <w:szCs w:val="21"/>
        </w:rPr>
      </w:pPr>
      <w:r>
        <w:rPr>
          <w:rFonts w:ascii="宋体" w:hAnsi="宋体" w:eastAsia="宋体" w:cs="宋体"/>
          <w:color w:val="auto"/>
          <w:sz w:val="21"/>
          <w:szCs w:val="21"/>
          <w:lang w:eastAsia="zh-CN"/>
        </w:rPr>
        <w:t>二、</w:t>
      </w:r>
      <w:r>
        <w:rPr>
          <w:rFonts w:ascii="宋体" w:hAnsi="宋体" w:eastAsia="宋体" w:cs="宋体"/>
          <w:b/>
          <w:color w:val="auto"/>
          <w:sz w:val="21"/>
          <w:szCs w:val="21"/>
        </w:rPr>
        <w:t>主要商务要求</w:t>
      </w:r>
    </w:p>
    <w:p w14:paraId="43F7AF4A">
      <w:pPr>
        <w:pStyle w:val="130"/>
        <w:adjustRightInd w:val="0"/>
        <w:snapToGrid w:val="0"/>
        <w:spacing w:line="360" w:lineRule="auto"/>
        <w:ind w:firstLine="422" w:firstLineChars="200"/>
        <w:rPr>
          <w:rFonts w:ascii="宋体" w:hAnsi="宋体" w:eastAsia="宋体" w:cs="宋体"/>
          <w:b/>
          <w:bCs/>
          <w:color w:val="auto"/>
          <w:sz w:val="21"/>
          <w:szCs w:val="21"/>
          <w:lang w:eastAsia="zh-CN"/>
        </w:rPr>
      </w:pPr>
      <w:r>
        <w:rPr>
          <w:rFonts w:ascii="宋体" w:hAnsi="宋体" w:eastAsia="宋体" w:cs="宋体"/>
          <w:b/>
          <w:bCs/>
          <w:color w:val="auto"/>
          <w:sz w:val="21"/>
          <w:szCs w:val="21"/>
          <w:lang w:eastAsia="zh-CN"/>
        </w:rPr>
        <w:t>（一）</w:t>
      </w:r>
      <w:r>
        <w:rPr>
          <w:rFonts w:hint="eastAsia" w:ascii="宋体" w:hAnsi="宋体" w:eastAsia="宋体" w:cs="宋体"/>
          <w:b/>
          <w:bCs/>
          <w:color w:val="auto"/>
          <w:sz w:val="21"/>
          <w:szCs w:val="21"/>
          <w:lang w:val="en-US" w:eastAsia="zh-CN"/>
        </w:rPr>
        <w:t>施工工期</w:t>
      </w:r>
      <w:r>
        <w:rPr>
          <w:rFonts w:ascii="宋体" w:hAnsi="宋体" w:eastAsia="宋体" w:cs="宋体"/>
          <w:b/>
          <w:bCs/>
          <w:color w:val="auto"/>
          <w:sz w:val="21"/>
          <w:szCs w:val="21"/>
          <w:lang w:eastAsia="zh-CN"/>
        </w:rPr>
        <w:t>：</w:t>
      </w:r>
    </w:p>
    <w:p w14:paraId="1BC1136E">
      <w:pPr>
        <w:pStyle w:val="130"/>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本工程施工工期为：15个日历天，成交供应商必须在所要求的工期内完成全部招标工程。</w:t>
      </w:r>
    </w:p>
    <w:p w14:paraId="34CAF077">
      <w:pPr>
        <w:pStyle w:val="130"/>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施工工期从成交供应商收到采购人签发的开工令之日起计，至竣工验收合格之日止。</w:t>
      </w:r>
    </w:p>
    <w:p w14:paraId="0D2148B9">
      <w:pPr>
        <w:pStyle w:val="130"/>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因成交供应商原因，工程没有按期竣工时，成交供应商须在逾期第壹天起每天按合同价款的3‰向采购人返纳逾期违约金。</w:t>
      </w:r>
    </w:p>
    <w:p w14:paraId="2898BF6B">
      <w:pPr>
        <w:pStyle w:val="130"/>
        <w:adjustRightInd w:val="0"/>
        <w:snapToGrid w:val="0"/>
        <w:spacing w:line="360" w:lineRule="auto"/>
        <w:ind w:firstLine="420" w:firstLineChars="200"/>
        <w:rPr>
          <w:rFonts w:hint="default" w:ascii="宋体" w:hAnsi="宋体" w:eastAsia="宋体" w:cs="宋体"/>
          <w:color w:val="auto"/>
          <w:sz w:val="21"/>
          <w:szCs w:val="21"/>
        </w:rPr>
      </w:pP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成交供应商须在签订合同之日起</w:t>
      </w:r>
      <w:r>
        <w:rPr>
          <w:rFonts w:hint="eastAsia" w:ascii="宋体" w:hAnsi="宋体" w:eastAsia="宋体" w:cs="宋体"/>
          <w:color w:val="auto"/>
          <w:sz w:val="21"/>
          <w:szCs w:val="21"/>
          <w:u w:val="single"/>
          <w:lang w:eastAsia="zh-CN"/>
        </w:rPr>
        <w:t xml:space="preserve"> 5</w:t>
      </w:r>
      <w:r>
        <w:rPr>
          <w:rFonts w:hint="eastAsia" w:ascii="宋体" w:hAnsi="宋体" w:eastAsia="宋体" w:cs="宋体"/>
          <w:color w:val="auto"/>
          <w:sz w:val="21"/>
          <w:szCs w:val="21"/>
          <w:lang w:eastAsia="zh-CN"/>
        </w:rPr>
        <w:t>个工作日内向采购人提供履约担保金额为合同总价的3%。项目通过竣工验收履约担保金转为工程质量保证金。</w:t>
      </w:r>
    </w:p>
    <w:p w14:paraId="66AECFB5">
      <w:pPr>
        <w:pStyle w:val="130"/>
        <w:adjustRightInd w:val="0"/>
        <w:snapToGrid w:val="0"/>
        <w:spacing w:line="360" w:lineRule="auto"/>
        <w:ind w:firstLine="422" w:firstLineChars="200"/>
        <w:rPr>
          <w:rFonts w:hint="default" w:ascii="宋体" w:hAnsi="宋体" w:eastAsia="宋体" w:cs="宋体"/>
          <w:color w:val="auto"/>
          <w:sz w:val="21"/>
          <w:szCs w:val="21"/>
          <w:lang w:val="en-US" w:eastAsia="zh-CN"/>
        </w:rPr>
      </w:pPr>
      <w:r>
        <w:rPr>
          <w:rFonts w:ascii="宋体" w:hAnsi="宋体" w:eastAsia="宋体" w:cs="宋体"/>
          <w:b/>
          <w:bCs/>
          <w:color w:val="auto"/>
          <w:sz w:val="21"/>
          <w:szCs w:val="21"/>
          <w:lang w:eastAsia="zh-CN"/>
        </w:rPr>
        <w:t>（二）</w:t>
      </w:r>
      <w:r>
        <w:rPr>
          <w:rFonts w:hint="eastAsia" w:ascii="宋体" w:hAnsi="宋体" w:eastAsia="宋体" w:cs="宋体"/>
          <w:b/>
          <w:bCs/>
          <w:color w:val="auto"/>
          <w:sz w:val="21"/>
          <w:szCs w:val="21"/>
          <w:lang w:val="en-US" w:eastAsia="zh-CN"/>
        </w:rPr>
        <w:t>施工</w:t>
      </w:r>
      <w:r>
        <w:rPr>
          <w:rFonts w:ascii="宋体" w:hAnsi="宋体" w:eastAsia="宋体" w:cs="宋体"/>
          <w:b/>
          <w:bCs/>
          <w:color w:val="auto"/>
          <w:sz w:val="21"/>
          <w:szCs w:val="21"/>
        </w:rPr>
        <w:t>地点</w:t>
      </w:r>
      <w:r>
        <w:rPr>
          <w:rFonts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采购人指定地点</w:t>
      </w:r>
    </w:p>
    <w:p w14:paraId="4D50AD1B">
      <w:pPr>
        <w:pStyle w:val="130"/>
        <w:adjustRightInd w:val="0"/>
        <w:snapToGrid w:val="0"/>
        <w:spacing w:line="360" w:lineRule="auto"/>
        <w:ind w:firstLine="422" w:firstLineChars="200"/>
        <w:rPr>
          <w:rFonts w:ascii="宋体" w:hAnsi="宋体" w:eastAsia="宋体" w:cs="宋体"/>
          <w:b/>
          <w:bCs/>
          <w:color w:val="auto"/>
          <w:sz w:val="21"/>
          <w:szCs w:val="21"/>
        </w:rPr>
      </w:pPr>
      <w:r>
        <w:rPr>
          <w:rFonts w:ascii="宋体" w:hAnsi="宋体" w:eastAsia="宋体" w:cs="宋体"/>
          <w:b/>
          <w:bCs/>
          <w:color w:val="auto"/>
          <w:sz w:val="21"/>
          <w:szCs w:val="21"/>
        </w:rPr>
        <w:t>（三）</w:t>
      </w:r>
      <w:r>
        <w:rPr>
          <w:rFonts w:hint="eastAsia" w:ascii="宋体" w:hAnsi="宋体" w:eastAsia="宋体" w:cs="宋体"/>
          <w:b/>
          <w:bCs/>
          <w:color w:val="auto"/>
          <w:sz w:val="21"/>
          <w:szCs w:val="21"/>
        </w:rPr>
        <w:t>质量及验收要求</w:t>
      </w:r>
    </w:p>
    <w:p w14:paraId="4D04D7F2">
      <w:pPr>
        <w:pStyle w:val="130"/>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质量要求：本项目工程质量严格按现行施工验收规范进行施工和验收。按现行国家建设工程施工技术规范、行业标准规范、施工质量统一验收标准以及设计图纸规范达到合格标准。</w:t>
      </w:r>
    </w:p>
    <w:p w14:paraId="04274AE3">
      <w:pPr>
        <w:pStyle w:val="130"/>
        <w:adjustRightInd w:val="0"/>
        <w:snapToGrid w:val="0"/>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2.验收要求</w:t>
      </w:r>
    </w:p>
    <w:p w14:paraId="7418CE7D">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1本项目工程质量严格按现行施工验收规范进行施工和验收。按现行国家建设工程施工技术规范、行业标准规范、施工质量统一验收标准以及设计图纸规范达到合格标准。工程质量要求达到合格以上，工程质量达不到合格的，承包单位必须无条件返工至符合现行施工验收规范的要求。</w:t>
      </w:r>
    </w:p>
    <w:p w14:paraId="0AA1EBCD">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项目质</w:t>
      </w:r>
      <w:r>
        <w:rPr>
          <w:rFonts w:hint="eastAsia" w:ascii="宋体" w:hAnsi="宋体" w:eastAsia="宋体" w:cs="宋体"/>
          <w:color w:val="auto"/>
          <w:sz w:val="21"/>
          <w:szCs w:val="21"/>
        </w:rPr>
        <w:t>保期为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rPr>
        <w:t>，质保期从工程竣工验收合格之日算起。质保期内，如因非人为因素出现工程质量问题时，施工单位在接到</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通知24小时内赶到现场并免费负责维修，否则，</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有权聘用其他单位或个人参与维修，维修费用从工程质保金中扣除，不够扣除的，由施工单位补足。</w:t>
      </w:r>
    </w:p>
    <w:p w14:paraId="39C6E55C">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.3工程技术严格按照国家现行有关施工规范、技术标准进行施工和验收。工程所采用的全部材料、配件或成品等需环保安全，符合安全检测标准，质量水平必须达到行业内中档水平，可以高于但不得低于此标准。</w:t>
      </w:r>
    </w:p>
    <w:p w14:paraId="1E6A4718">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.4项目使用的主要材料质量要求不低于现行国家标准，主要材料使用前必须提交样品经</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确认才可正式投入使用。否则造成的损失由施工单位自己承担。</w:t>
      </w:r>
    </w:p>
    <w:p w14:paraId="6DC20145">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.5施工过程中需要</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确认签字的要提前一个工作日通知</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。若</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未按约定时间到场可以委托监理单位办理进行下一步施工。施工单位若未能及时通知</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到场确认，因此造成损失由施工单位自行承担。</w:t>
      </w:r>
    </w:p>
    <w:p w14:paraId="2881A3F9">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.6</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组成验收小组按国家有关规定、规范进行验收，必要时邀请相关的专业人员或机构参与验收。因质量问题发生争议时，由本地质量技术监督部门鉴定，符合质量技术标准的，鉴定费由</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承担，否则鉴定费由施工单位承担。</w:t>
      </w:r>
    </w:p>
    <w:p w14:paraId="07CE66AF">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.7与工程工作联系单（书面形式），需监理单位、施工单位、</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三方同时确认。</w:t>
      </w:r>
    </w:p>
    <w:p w14:paraId="4FAF90FF">
      <w:pPr>
        <w:pStyle w:val="130"/>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.8项目验收小组由</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、施工单位、设计单位、监理单位人员组成，完成项目验收后，应填制项目验收书，由验收小组成员在项目验收书上签名。</w:t>
      </w:r>
    </w:p>
    <w:p w14:paraId="0F2383D0">
      <w:pPr>
        <w:pStyle w:val="130"/>
        <w:adjustRightInd w:val="0"/>
        <w:snapToGrid w:val="0"/>
        <w:spacing w:line="360" w:lineRule="auto"/>
        <w:ind w:firstLine="422" w:firstLineChars="20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报价要求</w:t>
      </w:r>
    </w:p>
    <w:p w14:paraId="4D3075FD">
      <w:pPr>
        <w:pStyle w:val="130"/>
        <w:adjustRightInd w:val="0"/>
        <w:snapToGrid w:val="0"/>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1.报价不得超出招标控制价，报价包含完成本项目全部内容的人工费、材料费、机械费、管理费、利润、项目措施费、规费、税金、预留金以及施工采购包含的所有风险、责任等所有各项费用。</w:t>
      </w:r>
    </w:p>
    <w:p w14:paraId="5664028B">
      <w:pPr>
        <w:pStyle w:val="130"/>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 xml:space="preserve">供应商的投标总价不得高于招标控制价，也不得低于工程成本。如果供应商的投标报价明显低于其他通过符合性审查供应商的报价，有可能影响服务质量或者不能诚信履约时，磋商小组应当要求供应商在评审现场合理的时间内提供书面说明及以往类似工程详细成本分析报告，必要时提交相关证明材料；供应商不能证明其报价合理性的，磋商小组应当将其作为无效投标处理。 </w:t>
      </w:r>
    </w:p>
    <w:p w14:paraId="0FD7EA75">
      <w:pPr>
        <w:pStyle w:val="130"/>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首轮报价需提供相应的工程量清单报价以及报价汇总。成交供应商的最终报价未变动的，则结算时以首轮报价的工程量清单综合单价为准。成交供应商的最终报价如有变动的，其中绿色施工安全防护措施费、暂列金额和暂估价以首轮报价为准。</w:t>
      </w:r>
    </w:p>
    <w:p w14:paraId="679FC685">
      <w:pPr>
        <w:pStyle w:val="130"/>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工程结算原则</w:t>
      </w:r>
    </w:p>
    <w:p w14:paraId="14C851EC">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施工单位的投标报价为中标价，即为签约合同价。</w:t>
      </w:r>
    </w:p>
    <w:p w14:paraId="614393F6">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工程量按实结算。</w:t>
      </w:r>
    </w:p>
    <w:p w14:paraId="52F152E3">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报价文件中有的各子目单价，按照报价文件中的子目单价执行；报价文件中没有的，但又相近相似的，参照报价文件中相应子目单价执行；新增的子目，报价文件中没有的，或没有相近相似的，按现行的《广东省建设工程计价通则》、《建设工程量清单计价规范》，《韶关市建筑工程造价信息》或市场价格信息计价，并按报价文件的</w:t>
      </w:r>
      <w:r>
        <w:rPr>
          <w:rFonts w:hint="eastAsia" w:ascii="宋体" w:hAnsi="宋体" w:eastAsia="宋体" w:cs="宋体"/>
          <w:color w:val="auto"/>
          <w:sz w:val="21"/>
          <w:szCs w:val="21"/>
          <w:lang w:val="en-US" w:eastAsia="zh-CN"/>
        </w:rPr>
        <w:t>总</w:t>
      </w:r>
      <w:r>
        <w:rPr>
          <w:rFonts w:hint="eastAsia" w:ascii="宋体" w:hAnsi="宋体" w:eastAsia="宋体" w:cs="宋体"/>
          <w:color w:val="auto"/>
          <w:sz w:val="21"/>
          <w:szCs w:val="21"/>
        </w:rPr>
        <w:t>下浮率</w:t>
      </w:r>
      <w:r>
        <w:rPr>
          <w:rFonts w:hint="eastAsia" w:ascii="宋体" w:hAnsi="宋体" w:eastAsia="宋体" w:cs="宋体"/>
          <w:color w:val="auto"/>
          <w:sz w:val="21"/>
          <w:szCs w:val="21"/>
        </w:rPr>
        <w:t>进行下浮。</w:t>
      </w:r>
    </w:p>
    <w:p w14:paraId="38D7B33B">
      <w:pPr>
        <w:pStyle w:val="130"/>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工程付款方式</w:t>
      </w:r>
    </w:p>
    <w:p w14:paraId="0940A4F6">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须在签订合同之日起 5个工作日内向</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提供履约担保金额为合同总价的3%。项目通过竣工验收履约担保金转为工程质量保证金。</w:t>
      </w:r>
    </w:p>
    <w:p w14:paraId="2BC24B17">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经竣工结算审定完成后，</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支付完成至审定结算价全部工程款 ，质量保证金自竣工验收合格之日起12个月后的14天内无息返回</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w:t>
      </w:r>
    </w:p>
    <w:p w14:paraId="68EEB941">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发生一般事故及以上等级重大安全事故的，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可扣除</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金额相当于所有“绿色施工安全防护措施费”的工程管理费。</w:t>
      </w:r>
    </w:p>
    <w:p w14:paraId="4FB56753">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每次支付工程款前，</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均应提供有效的</w:t>
      </w:r>
      <w:r>
        <w:rPr>
          <w:rFonts w:hint="eastAsia" w:ascii="宋体" w:hAnsi="宋体" w:eastAsia="宋体" w:cs="宋体"/>
          <w:color w:val="auto"/>
          <w:sz w:val="21"/>
          <w:szCs w:val="21"/>
          <w:lang w:eastAsia="zh-CN"/>
        </w:rPr>
        <w:t>增值税专用发票</w:t>
      </w:r>
      <w:r>
        <w:rPr>
          <w:rFonts w:hint="eastAsia" w:ascii="宋体" w:hAnsi="宋体" w:eastAsia="宋体" w:cs="宋体"/>
          <w:color w:val="auto"/>
          <w:sz w:val="21"/>
          <w:szCs w:val="21"/>
        </w:rPr>
        <w:t>。如果</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无法提供符合要求的发票，由此造成的相应损失由</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承担。</w:t>
      </w:r>
    </w:p>
    <w:p w14:paraId="42A9D0C5">
      <w:pPr>
        <w:pStyle w:val="130"/>
        <w:adjustRightInd w:val="0"/>
        <w:snapToGrid w:val="0"/>
        <w:spacing w:line="360" w:lineRule="auto"/>
        <w:ind w:firstLine="422" w:firstLineChars="200"/>
        <w:rPr>
          <w:rFonts w:hint="default" w:ascii="宋体" w:hAnsi="宋体" w:eastAsia="宋体" w:cs="宋体"/>
          <w:color w:val="auto"/>
          <w:sz w:val="21"/>
          <w:szCs w:val="21"/>
        </w:rPr>
      </w:pPr>
      <w:r>
        <w:rPr>
          <w:rFonts w:ascii="宋体" w:hAnsi="宋体" w:eastAsia="宋体" w:cs="宋体"/>
          <w:b/>
          <w:color w:val="auto"/>
          <w:sz w:val="21"/>
          <w:szCs w:val="21"/>
          <w:lang w:eastAsia="zh-CN"/>
        </w:rPr>
        <w:t>三、</w:t>
      </w:r>
      <w:r>
        <w:rPr>
          <w:rFonts w:ascii="宋体" w:hAnsi="宋体" w:eastAsia="宋体" w:cs="宋体"/>
          <w:b/>
          <w:color w:val="auto"/>
          <w:sz w:val="21"/>
          <w:szCs w:val="21"/>
        </w:rPr>
        <w:t>技术要求</w:t>
      </w:r>
    </w:p>
    <w:p w14:paraId="2546A2C6">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lang w:eastAsia="zh-CN"/>
        </w:rPr>
        <w:t>（一）</w:t>
      </w:r>
      <w:r>
        <w:rPr>
          <w:rFonts w:ascii="宋体" w:hAnsi="宋体" w:eastAsia="宋体" w:cs="宋体"/>
          <w:b/>
          <w:color w:val="auto"/>
          <w:sz w:val="21"/>
          <w:szCs w:val="21"/>
        </w:rPr>
        <w:t>质量标准和材料要求</w:t>
      </w:r>
    </w:p>
    <w:p w14:paraId="5156FA77">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w:t>
      </w:r>
      <w:r>
        <w:rPr>
          <w:rFonts w:ascii="宋体" w:hAnsi="宋体" w:eastAsia="宋体" w:cs="宋体"/>
          <w:color w:val="auto"/>
          <w:sz w:val="21"/>
          <w:szCs w:val="21"/>
        </w:rPr>
        <w:t>施工工艺严格按照国家和广东省的有关现行施工技术规范及标准执行，工程质量标准须达到合格标准，如未达到合格标准，则按合同价款的1%向采购人返纳质量违约金，并由成交供应商负责返修至达到合格标准，返修费用由成交供应商承担，同时承担所有的责任及经济损失。</w:t>
      </w:r>
    </w:p>
    <w:p w14:paraId="2B4EC0C9">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成交供应商在施工中如果工程质量不符合设计要求和有关规定，采购人或监理单位要求停工和返工的必须立即执行，并承担由此产生的各种费用，工期不予顺延。</w:t>
      </w:r>
    </w:p>
    <w:p w14:paraId="2311EFA8">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eastAsia="zh-CN"/>
        </w:rPr>
        <w:t>.</w:t>
      </w:r>
      <w:r>
        <w:rPr>
          <w:rFonts w:ascii="宋体" w:hAnsi="宋体" w:eastAsia="宋体" w:cs="宋体"/>
          <w:color w:val="auto"/>
          <w:sz w:val="21"/>
          <w:szCs w:val="21"/>
        </w:rPr>
        <w:t>工程使用的主要材料质量要求不低于招标工程量清单所列的要求。主要材料必须先提供样板给采购人确定其颜色、等级等，并经检测部门检测合格方可使用，所有材料必须使用合格产品。</w:t>
      </w:r>
    </w:p>
    <w:p w14:paraId="0F6071C6">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lang w:eastAsia="zh-CN"/>
        </w:rPr>
        <w:t>.</w:t>
      </w:r>
      <w:r>
        <w:rPr>
          <w:rFonts w:ascii="宋体" w:hAnsi="宋体" w:eastAsia="宋体" w:cs="宋体"/>
          <w:color w:val="auto"/>
          <w:sz w:val="21"/>
          <w:szCs w:val="21"/>
        </w:rPr>
        <w:t>由于成交供应商提供的伪劣、假冒等所有不合格材料而导致的损失、事故及一切后果，均由成交供应商负责并赔偿采购人所有损失，并负责更换所有已施工的不合格材料。</w:t>
      </w:r>
    </w:p>
    <w:p w14:paraId="00E4CD09">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lang w:eastAsia="zh-CN"/>
        </w:rPr>
        <w:t>.</w:t>
      </w:r>
      <w:r>
        <w:rPr>
          <w:rFonts w:ascii="宋体" w:hAnsi="宋体" w:eastAsia="宋体" w:cs="宋体"/>
          <w:color w:val="auto"/>
          <w:sz w:val="21"/>
          <w:szCs w:val="21"/>
        </w:rPr>
        <w:t>采购人保留对本工程使用之主要材料品质确认审查的权利及保留另行委托专业单位对本工程进行独立检测的权利。</w:t>
      </w:r>
    </w:p>
    <w:p w14:paraId="3B3E76CC">
      <w:pPr>
        <w:pStyle w:val="130"/>
        <w:adjustRightInd w:val="0"/>
        <w:snapToGrid w:val="0"/>
        <w:spacing w:line="360" w:lineRule="auto"/>
        <w:ind w:firstLine="420" w:firstLineChars="200"/>
        <w:jc w:val="both"/>
        <w:rPr>
          <w:rFonts w:hint="default" w:ascii="宋体" w:hAnsi="宋体" w:eastAsia="宋体" w:cs="宋体"/>
          <w:bCs/>
          <w:color w:val="auto"/>
          <w:sz w:val="21"/>
          <w:szCs w:val="21"/>
          <w:lang w:eastAsia="zh-CN"/>
        </w:rPr>
      </w:pPr>
      <w:r>
        <w:rPr>
          <w:rFonts w:ascii="宋体" w:hAnsi="宋体" w:eastAsia="宋体" w:cs="宋体"/>
          <w:bCs/>
          <w:color w:val="auto"/>
          <w:sz w:val="21"/>
          <w:szCs w:val="21"/>
          <w:lang w:eastAsia="zh-CN"/>
        </w:rPr>
        <w:t>6</w:t>
      </w:r>
      <w:r>
        <w:rPr>
          <w:rFonts w:hint="eastAsia" w:ascii="宋体" w:hAnsi="宋体" w:eastAsia="宋体" w:cs="宋体"/>
          <w:bCs/>
          <w:color w:val="auto"/>
          <w:sz w:val="21"/>
          <w:szCs w:val="21"/>
          <w:lang w:eastAsia="zh-CN"/>
        </w:rPr>
        <w:t>.门窗等</w:t>
      </w:r>
      <w:r>
        <w:rPr>
          <w:rFonts w:ascii="宋体" w:hAnsi="宋体" w:eastAsia="宋体" w:cs="宋体"/>
          <w:bCs/>
          <w:color w:val="auto"/>
          <w:sz w:val="21"/>
          <w:szCs w:val="21"/>
          <w:lang w:eastAsia="zh-CN"/>
        </w:rPr>
        <w:t>的实际尺寸可能和图纸会有差异，成交供应商须进行复核，最终以实际测量尺寸为准。</w:t>
      </w:r>
    </w:p>
    <w:p w14:paraId="6D6782DE">
      <w:pPr>
        <w:pStyle w:val="130"/>
        <w:adjustRightInd w:val="0"/>
        <w:snapToGrid w:val="0"/>
        <w:spacing w:line="360" w:lineRule="auto"/>
        <w:ind w:firstLine="420" w:firstLineChars="200"/>
        <w:jc w:val="both"/>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7.中标后，</w:t>
      </w:r>
      <w:r>
        <w:rPr>
          <w:rFonts w:ascii="宋体" w:hAnsi="宋体" w:eastAsia="宋体" w:cs="宋体"/>
          <w:color w:val="auto"/>
          <w:sz w:val="21"/>
          <w:szCs w:val="21"/>
        </w:rPr>
        <w:t>成交供应商</w:t>
      </w:r>
      <w:r>
        <w:rPr>
          <w:rFonts w:ascii="宋体" w:hAnsi="宋体" w:eastAsia="宋体" w:cs="宋体"/>
          <w:bCs/>
          <w:color w:val="auto"/>
          <w:sz w:val="21"/>
          <w:szCs w:val="21"/>
          <w:lang w:eastAsia="zh-CN"/>
        </w:rPr>
        <w:t>须</w:t>
      </w:r>
      <w:r>
        <w:rPr>
          <w:rFonts w:hint="eastAsia" w:ascii="宋体" w:hAnsi="宋体" w:eastAsia="宋体" w:cs="宋体"/>
          <w:bCs/>
          <w:color w:val="auto"/>
          <w:sz w:val="21"/>
          <w:szCs w:val="21"/>
          <w:lang w:val="en-US" w:eastAsia="zh-CN"/>
        </w:rPr>
        <w:t>对工程量清单内容</w:t>
      </w:r>
      <w:r>
        <w:rPr>
          <w:rFonts w:ascii="宋体" w:hAnsi="宋体" w:eastAsia="宋体" w:cs="宋体"/>
          <w:bCs/>
          <w:color w:val="auto"/>
          <w:sz w:val="21"/>
          <w:szCs w:val="21"/>
          <w:lang w:eastAsia="zh-CN"/>
        </w:rPr>
        <w:t>进行复核</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最终</w:t>
      </w:r>
      <w:r>
        <w:rPr>
          <w:rFonts w:hint="eastAsia" w:ascii="宋体" w:hAnsi="宋体" w:eastAsia="宋体" w:cs="宋体"/>
          <w:bCs/>
          <w:color w:val="auto"/>
          <w:sz w:val="21"/>
          <w:szCs w:val="21"/>
          <w:lang w:eastAsia="zh-CN"/>
        </w:rPr>
        <w:t>以实际</w:t>
      </w:r>
      <w:r>
        <w:rPr>
          <w:rFonts w:hint="eastAsia" w:ascii="宋体" w:hAnsi="宋体" w:eastAsia="宋体" w:cs="宋体"/>
          <w:bCs/>
          <w:color w:val="auto"/>
          <w:sz w:val="21"/>
          <w:szCs w:val="21"/>
          <w:lang w:val="en-US" w:eastAsia="zh-CN"/>
        </w:rPr>
        <w:t>发生的工程量</w:t>
      </w:r>
      <w:r>
        <w:rPr>
          <w:rFonts w:hint="eastAsia" w:ascii="宋体" w:hAnsi="宋体" w:eastAsia="宋体" w:cs="宋体"/>
          <w:bCs/>
          <w:color w:val="auto"/>
          <w:sz w:val="21"/>
          <w:szCs w:val="21"/>
          <w:lang w:eastAsia="zh-CN"/>
        </w:rPr>
        <w:t>为准。</w:t>
      </w:r>
    </w:p>
    <w:p w14:paraId="2018B8C2">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lang w:eastAsia="zh-CN"/>
        </w:rPr>
        <w:t>（二）</w:t>
      </w:r>
      <w:r>
        <w:rPr>
          <w:rFonts w:ascii="宋体" w:hAnsi="宋体" w:eastAsia="宋体" w:cs="宋体"/>
          <w:b/>
          <w:color w:val="auto"/>
          <w:sz w:val="21"/>
          <w:szCs w:val="21"/>
        </w:rPr>
        <w:t>工程承包方式</w:t>
      </w:r>
    </w:p>
    <w:p w14:paraId="75366E6F">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成交供应商以成交金额按包工包料、包质量、包安全文明施工、包工期方式总承包施工，不允许转包和违法分包。</w:t>
      </w:r>
    </w:p>
    <w:p w14:paraId="0E2F5BC9">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lang w:eastAsia="zh-CN"/>
        </w:rPr>
        <w:t>.</w:t>
      </w:r>
      <w:r>
        <w:rPr>
          <w:rFonts w:ascii="宋体" w:hAnsi="宋体" w:eastAsia="宋体" w:cs="宋体"/>
          <w:color w:val="auto"/>
          <w:sz w:val="21"/>
          <w:szCs w:val="21"/>
        </w:rPr>
        <w:t>包工包料：材料符合磋商文件要求并报验使用；办理用工保险。</w:t>
      </w:r>
    </w:p>
    <w:p w14:paraId="5689E271">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eastAsia="zh-CN"/>
        </w:rPr>
        <w:t>.</w:t>
      </w:r>
      <w:r>
        <w:rPr>
          <w:rFonts w:ascii="宋体" w:hAnsi="宋体" w:eastAsia="宋体" w:cs="宋体"/>
          <w:color w:val="auto"/>
          <w:sz w:val="21"/>
          <w:szCs w:val="21"/>
        </w:rPr>
        <w:t>包质量：符合磋商文件要求。</w:t>
      </w:r>
    </w:p>
    <w:p w14:paraId="7F9A5377">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lang w:eastAsia="zh-CN"/>
        </w:rPr>
        <w:t>.</w:t>
      </w:r>
      <w:r>
        <w:rPr>
          <w:rFonts w:ascii="宋体" w:hAnsi="宋体" w:eastAsia="宋体" w:cs="宋体"/>
          <w:color w:val="auto"/>
          <w:sz w:val="21"/>
          <w:szCs w:val="21"/>
        </w:rPr>
        <w:t>包安全包文明施工：符合磋商文件要求。</w:t>
      </w:r>
    </w:p>
    <w:p w14:paraId="78C0400B">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lang w:eastAsia="zh-CN"/>
        </w:rPr>
        <w:t>.</w:t>
      </w:r>
      <w:r>
        <w:rPr>
          <w:rFonts w:ascii="宋体" w:hAnsi="宋体" w:eastAsia="宋体" w:cs="宋体"/>
          <w:color w:val="auto"/>
          <w:sz w:val="21"/>
          <w:szCs w:val="21"/>
        </w:rPr>
        <w:t>包工期：本工程施工必须在招标工期内完成。</w:t>
      </w:r>
    </w:p>
    <w:p w14:paraId="12B68E03">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lang w:eastAsia="zh-CN"/>
        </w:rPr>
        <w:t>（三）</w:t>
      </w:r>
      <w:r>
        <w:rPr>
          <w:rFonts w:ascii="宋体" w:hAnsi="宋体" w:eastAsia="宋体" w:cs="宋体"/>
          <w:b/>
          <w:color w:val="auto"/>
          <w:sz w:val="21"/>
          <w:szCs w:val="21"/>
        </w:rPr>
        <w:t>施工条件及要求</w:t>
      </w:r>
    </w:p>
    <w:p w14:paraId="033AA44A">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在施工期间应严格遵守《中华人民共和国安全生产法》、《建设工程安全生产管理条例》以及文明施工、深夜施工、公路管理部门等规定，建立规章制度和防护措施。若违反以上规定，由此造成的经济和法律责任，均由成交供应商负责。</w:t>
      </w:r>
    </w:p>
    <w:p w14:paraId="05699008">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lang w:eastAsia="zh-CN"/>
        </w:rPr>
        <w:t>.</w:t>
      </w:r>
      <w:r>
        <w:rPr>
          <w:rFonts w:ascii="宋体" w:hAnsi="宋体" w:eastAsia="宋体" w:cs="宋体"/>
          <w:color w:val="auto"/>
          <w:sz w:val="21"/>
          <w:szCs w:val="21"/>
        </w:rPr>
        <w:t>采购人不提供施工所需的食宿、办公、临时及材料加工场地，均由成交供应商自行解决，其费用成交供应商自理。</w:t>
      </w:r>
    </w:p>
    <w:p w14:paraId="14678861">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成交供应商自行解决施工临时用水、用电、通讯设施，相关费用已包含在报价内。</w:t>
      </w:r>
    </w:p>
    <w:p w14:paraId="32112DA8">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成交供应商应确保施工现场的清洁卫生，建筑垃圾须及时清理干净。</w:t>
      </w:r>
    </w:p>
    <w:p w14:paraId="06253123">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成交供应商一旦进场施工，须严格遵守采购人的各项规章制度，包括但不限于：</w:t>
      </w:r>
    </w:p>
    <w:p w14:paraId="5B6409EE">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①在规定的地域施工和活动；②项目经理和管理人员须坚守岗位，因事需离开施工现场超过一天的，需提前向采购人请假，经采购人同意方可离开。</w:t>
      </w:r>
    </w:p>
    <w:p w14:paraId="68162515">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6</w:t>
      </w:r>
      <w:r>
        <w:rPr>
          <w:rFonts w:hint="eastAsia" w:ascii="宋体" w:hAnsi="宋体" w:eastAsia="宋体" w:cs="宋体"/>
          <w:color w:val="auto"/>
          <w:sz w:val="21"/>
          <w:szCs w:val="21"/>
          <w:lang w:eastAsia="zh-CN"/>
        </w:rPr>
        <w:t>.</w:t>
      </w:r>
      <w:r>
        <w:rPr>
          <w:rFonts w:ascii="宋体" w:hAnsi="宋体" w:eastAsia="宋体" w:cs="宋体"/>
          <w:color w:val="auto"/>
          <w:sz w:val="21"/>
          <w:szCs w:val="21"/>
        </w:rPr>
        <w:t>特种作业人员必须持证上岗。</w:t>
      </w:r>
    </w:p>
    <w:p w14:paraId="5A5B8DFC">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7</w:t>
      </w:r>
      <w:r>
        <w:rPr>
          <w:rFonts w:hint="eastAsia" w:ascii="宋体" w:hAnsi="宋体" w:eastAsia="宋体" w:cs="宋体"/>
          <w:color w:val="auto"/>
          <w:sz w:val="21"/>
          <w:szCs w:val="21"/>
          <w:lang w:eastAsia="zh-CN"/>
        </w:rPr>
        <w:t>.</w:t>
      </w:r>
      <w:r>
        <w:rPr>
          <w:rFonts w:ascii="宋体" w:hAnsi="宋体" w:eastAsia="宋体" w:cs="宋体"/>
          <w:color w:val="auto"/>
          <w:sz w:val="21"/>
          <w:szCs w:val="21"/>
        </w:rPr>
        <w:t>施工作业人员必须全程佩戴安全帽或按行业要求穿戴安全防护用品，违者责任自负。</w:t>
      </w:r>
    </w:p>
    <w:p w14:paraId="2E0BD893">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w:t>
      </w:r>
      <w:r>
        <w:rPr>
          <w:rFonts w:ascii="宋体" w:hAnsi="宋体" w:eastAsia="宋体" w:cs="宋体"/>
          <w:color w:val="auto"/>
          <w:sz w:val="21"/>
          <w:szCs w:val="21"/>
        </w:rPr>
        <w:t>须制定和落实项目实施方案、质量保证措施、安全生产及文明施工措施等，施工期间须严格管理施工人员，保护好已完工工程成品，发生一切安全事故均由成交供应商自行负责。严格加强管理。</w:t>
      </w:r>
    </w:p>
    <w:p w14:paraId="11718DA7">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9</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成交供应商必须按响应文件提供管理人员名单委派现场管理人员，非采购人要求的，原则上不得更换。如需更换必须提交书面申请，经采购人同意后方能更换，否则当成交供应商违反合同规定处理。</w:t>
      </w:r>
    </w:p>
    <w:p w14:paraId="446F22F2">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成交供应商必须遵守</w:t>
      </w:r>
      <w:r>
        <w:rPr>
          <w:rFonts w:hint="eastAsia" w:ascii="宋体" w:hAnsi="宋体" w:eastAsia="宋体" w:cs="宋体"/>
          <w:color w:val="auto"/>
          <w:sz w:val="21"/>
          <w:szCs w:val="21"/>
          <w:lang w:eastAsia="zh-CN"/>
        </w:rPr>
        <w:t>采购人</w:t>
      </w:r>
      <w:r>
        <w:rPr>
          <w:rFonts w:ascii="宋体" w:hAnsi="宋体" w:eastAsia="宋体" w:cs="宋体"/>
          <w:color w:val="auto"/>
          <w:sz w:val="21"/>
          <w:szCs w:val="21"/>
        </w:rPr>
        <w:t>施工现场和人员管理的规定，安全生产，文明施工。</w:t>
      </w:r>
    </w:p>
    <w:p w14:paraId="3EA02623">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成交供应商在施工期间应在适当区域设置安全警示设施，防止发生安全事故。</w:t>
      </w:r>
    </w:p>
    <w:p w14:paraId="0B9FAA60">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成交供应商在施工期间必须注意环保问题，施工过程不得对周边自然环境产生次生灾害，建筑余料必须清理干净，并堆放到指定地点，严禁随意随地倾倒碴料等。</w:t>
      </w:r>
    </w:p>
    <w:p w14:paraId="39B014E9">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成交供应商必须安全施工，遵守各项施工安全操作规范，若发生任何安全事故，概与采购人无关，由成交供应商自负。</w:t>
      </w:r>
    </w:p>
    <w:p w14:paraId="50D6B7EC">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ascii="宋体" w:hAnsi="宋体" w:eastAsia="宋体" w:cs="宋体"/>
          <w:color w:val="auto"/>
          <w:sz w:val="21"/>
          <w:szCs w:val="21"/>
        </w:rPr>
        <w:t>成交供应商必须注意施工安全，做好安全文明施工工作，如因措施不当造成人身安全或工伤死亡事故，一切责任由成交供应商负责。</w:t>
      </w:r>
    </w:p>
    <w:p w14:paraId="16F7ED6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工程完工后及时拆除临时设施，清运垃圾，做好相关工序工作，并积极配合采购人组织验收，做好验收记录，做到工完场清。</w:t>
      </w:r>
    </w:p>
    <w:p w14:paraId="14C64A5D">
      <w:pPr>
        <w:pStyle w:val="130"/>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施工单位的管理要求</w:t>
      </w:r>
    </w:p>
    <w:p w14:paraId="038F299D">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施工单位有以下行为，经调查属实的，监狱将立即解除合同：</w:t>
      </w:r>
    </w:p>
    <w:p w14:paraId="77BE1449">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 弄虚作假，提供虚假材料取得中标供应资格的；</w:t>
      </w:r>
    </w:p>
    <w:p w14:paraId="4BD99EB2">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 项目有转包、分包行为的；</w:t>
      </w:r>
    </w:p>
    <w:p w14:paraId="385B3C51">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 经营情况发生重大变更，已经不具备承接中标供应项目能力的；</w:t>
      </w:r>
    </w:p>
    <w:p w14:paraId="0A6E341B">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 无正当理由拒绝履行合同的；</w:t>
      </w:r>
    </w:p>
    <w:p w14:paraId="7792DFFD">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1.5 因施工单位原因导致狱内发生监管安全事故的； </w:t>
      </w:r>
    </w:p>
    <w:p w14:paraId="75A80DEA">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 施工人员为监狱服刑人员私传违禁品、违规品、危险品、信件、口信等违反监狱管理规定的；</w:t>
      </w:r>
    </w:p>
    <w:p w14:paraId="1F69548D">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 有其它违法违纪行为的。</w:t>
      </w:r>
    </w:p>
    <w:p w14:paraId="1FB3DE93">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施工单位不得转包、分包，否则监狱有权单方面终止合同，项目另行处理，施工单位承担由此造成的经济损失，履约保证金不退还。</w:t>
      </w:r>
    </w:p>
    <w:p w14:paraId="2BF74FEC">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因生产商原因停产、改变生产规格的，施工单位凭生产商证明告知</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，经市场调查确认，选择替换品种、规格，与施工单位协商定价后确认更换的品种、规格、价格。</w:t>
      </w:r>
    </w:p>
    <w:p w14:paraId="029EBDBE">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和监理单位按合同对项目进行严格验收，对验收不合格的工程应由施工方负责修理更换，其费用由施工方负责。</w:t>
      </w:r>
    </w:p>
    <w:p w14:paraId="1BA412A2">
      <w:pPr>
        <w:pStyle w:val="130"/>
        <w:adjustRightInd w:val="0"/>
        <w:snapToGrid w:val="0"/>
        <w:spacing w:line="360" w:lineRule="auto"/>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安全文明施工标准：杜绝一般事故等级及以上的伤亡事故且工伤责任事故死亡人数为零。</w:t>
      </w:r>
    </w:p>
    <w:p w14:paraId="5AB40DD1">
      <w:pPr>
        <w:pStyle w:val="130"/>
        <w:adjustRightInd w:val="0"/>
        <w:snapToGrid w:val="0"/>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其他</w:t>
      </w:r>
      <w:r>
        <w:rPr>
          <w:rFonts w:hint="eastAsia" w:ascii="宋体" w:hAnsi="宋体" w:eastAsia="宋体" w:cs="宋体"/>
          <w:b/>
          <w:bCs/>
          <w:color w:val="auto"/>
          <w:sz w:val="21"/>
          <w:szCs w:val="21"/>
        </w:rPr>
        <w:t>管理</w:t>
      </w:r>
      <w:r>
        <w:rPr>
          <w:rFonts w:hint="eastAsia" w:ascii="宋体" w:hAnsi="宋体" w:eastAsia="宋体" w:cs="宋体"/>
          <w:b/>
          <w:bCs/>
          <w:color w:val="auto"/>
          <w:sz w:val="21"/>
          <w:szCs w:val="21"/>
          <w:lang w:val="en-US" w:eastAsia="zh-CN"/>
        </w:rPr>
        <w:t>要求</w:t>
      </w:r>
    </w:p>
    <w:p w14:paraId="1F099AB4">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施工单位须由专业造价人员按报价清单进行报价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封面须加盖注册造价人员公章及签字</w:t>
      </w:r>
      <w:r>
        <w:rPr>
          <w:rFonts w:hint="eastAsia" w:ascii="宋体" w:hAnsi="宋体" w:eastAsia="宋体" w:cs="宋体"/>
          <w:color w:val="auto"/>
          <w:sz w:val="21"/>
          <w:szCs w:val="21"/>
        </w:rPr>
        <w:t>；</w:t>
      </w:r>
    </w:p>
    <w:p w14:paraId="3F21EF2B">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施工单位提供驻场人员组织架构（含人员信息）。</w:t>
      </w:r>
    </w:p>
    <w:p w14:paraId="02F801AA">
      <w:pPr>
        <w:adjustRightInd w:val="0"/>
        <w:snapToGrid w:val="0"/>
        <w:spacing w:line="360" w:lineRule="auto"/>
        <w:ind w:firstLine="420" w:firstLineChars="200"/>
        <w:rPr>
          <w:rFonts w:hint="eastAsia" w:ascii="宋体" w:hAnsi="宋体" w:cs="宋体"/>
          <w:b/>
          <w:bCs/>
          <w:color w:val="auto"/>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施工人员严格遵守监狱的相关管理规定。</w:t>
      </w:r>
    </w:p>
    <w:p w14:paraId="286FF784">
      <w:pPr>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w:t>
      </w:r>
      <w:r>
        <w:rPr>
          <w:rFonts w:hint="eastAsia" w:ascii="宋体" w:hAnsi="宋体" w:cs="宋体"/>
          <w:b/>
          <w:bCs/>
          <w:color w:val="auto"/>
          <w:szCs w:val="21"/>
          <w:lang w:val="en-US" w:eastAsia="zh-CN"/>
        </w:rPr>
        <w:t>六</w:t>
      </w:r>
      <w:r>
        <w:rPr>
          <w:rFonts w:hint="eastAsia" w:ascii="宋体" w:hAnsi="宋体" w:cs="宋体"/>
          <w:b/>
          <w:bCs/>
          <w:color w:val="auto"/>
          <w:szCs w:val="21"/>
        </w:rPr>
        <w:t>）图纸及清单（另册）</w:t>
      </w:r>
    </w:p>
    <w:p w14:paraId="6F6307F9">
      <w:pPr>
        <w:rPr>
          <w:b/>
          <w:bCs/>
          <w:color w:val="auto"/>
          <w:szCs w:val="21"/>
        </w:rPr>
      </w:pPr>
      <w:r>
        <w:rPr>
          <w:rFonts w:hint="eastAsia"/>
          <w:b/>
          <w:bCs/>
          <w:color w:val="auto"/>
          <w:szCs w:val="21"/>
        </w:rPr>
        <w:br w:type="page"/>
      </w:r>
    </w:p>
    <w:p w14:paraId="42A90D76">
      <w:pPr>
        <w:pStyle w:val="2"/>
        <w:jc w:val="center"/>
        <w:rPr>
          <w:color w:val="auto"/>
          <w:sz w:val="32"/>
          <w:szCs w:val="32"/>
        </w:rPr>
      </w:pPr>
      <w:r>
        <w:rPr>
          <w:rFonts w:hint="eastAsia"/>
          <w:color w:val="auto"/>
          <w:sz w:val="32"/>
          <w:szCs w:val="32"/>
        </w:rPr>
        <w:t xml:space="preserve">第四章  </w:t>
      </w:r>
      <w:bookmarkEnd w:id="42"/>
      <w:r>
        <w:rPr>
          <w:rFonts w:hint="eastAsia"/>
          <w:color w:val="auto"/>
          <w:sz w:val="32"/>
          <w:szCs w:val="32"/>
        </w:rPr>
        <w:t>合同文本</w:t>
      </w:r>
    </w:p>
    <w:bookmarkEnd w:id="43"/>
    <w:bookmarkEnd w:id="44"/>
    <w:bookmarkEnd w:id="45"/>
    <w:bookmarkEnd w:id="46"/>
    <w:bookmarkEnd w:id="47"/>
    <w:bookmarkEnd w:id="48"/>
    <w:bookmarkEnd w:id="49"/>
    <w:bookmarkEnd w:id="50"/>
    <w:p w14:paraId="5C7DFD72">
      <w:pPr>
        <w:pStyle w:val="97"/>
        <w:spacing w:line="360" w:lineRule="auto"/>
        <w:rPr>
          <w:b/>
          <w:bCs/>
          <w:color w:val="auto"/>
          <w:sz w:val="24"/>
        </w:rPr>
      </w:pPr>
      <w:bookmarkStart w:id="52" w:name="_Toc27840486"/>
      <w:bookmarkStart w:id="53" w:name="_Toc17252698"/>
      <w:bookmarkStart w:id="54" w:name="_Toc14450837"/>
      <w:bookmarkStart w:id="55" w:name="_Toc2699428"/>
      <w:bookmarkStart w:id="56" w:name="_Toc13884772"/>
      <w:bookmarkStart w:id="57" w:name="_Toc30476678"/>
      <w:r>
        <w:rPr>
          <w:rFonts w:hint="eastAsia"/>
          <w:color w:val="auto"/>
        </w:rPr>
        <w:t>（《采购人需求》中另有规定的，以采购人需求为准）</w:t>
      </w:r>
    </w:p>
    <w:p w14:paraId="6D820981">
      <w:pPr>
        <w:jc w:val="center"/>
        <w:rPr>
          <w:rFonts w:ascii="宋体" w:hAnsi="宋体"/>
          <w:color w:val="auto"/>
        </w:rPr>
      </w:pPr>
      <w:r>
        <w:rPr>
          <w:rFonts w:hint="eastAsia" w:ascii="宋体" w:hAnsi="宋体"/>
          <w:color w:val="auto"/>
        </w:rPr>
        <w:t>注：本合同条款仅供参考，甲乙双方可根据实际情况进行补充。</w:t>
      </w:r>
    </w:p>
    <w:p w14:paraId="7EBA1D7F">
      <w:pPr>
        <w:adjustRightInd w:val="0"/>
        <w:snapToGrid w:val="0"/>
        <w:spacing w:line="360" w:lineRule="auto"/>
        <w:jc w:val="center"/>
        <w:rPr>
          <w:rFonts w:ascii="微软雅黑" w:hAnsi="微软雅黑" w:eastAsia="微软雅黑" w:cs="黑体"/>
          <w:b/>
          <w:color w:val="auto"/>
          <w:sz w:val="84"/>
          <w:szCs w:val="84"/>
        </w:rPr>
      </w:pPr>
    </w:p>
    <w:p w14:paraId="45CDD6C7">
      <w:pPr>
        <w:adjustRightInd w:val="0"/>
        <w:snapToGrid w:val="0"/>
        <w:spacing w:line="360" w:lineRule="auto"/>
        <w:jc w:val="center"/>
        <w:rPr>
          <w:rFonts w:ascii="微软雅黑" w:hAnsi="微软雅黑" w:eastAsia="微软雅黑" w:cs="黑体"/>
          <w:b/>
          <w:color w:val="auto"/>
          <w:sz w:val="84"/>
          <w:szCs w:val="84"/>
        </w:rPr>
      </w:pPr>
      <w:r>
        <w:rPr>
          <w:rFonts w:hint="eastAsia" w:ascii="微软雅黑" w:hAnsi="微软雅黑" w:eastAsia="微软雅黑" w:cs="黑体"/>
          <w:b/>
          <w:color w:val="auto"/>
          <w:sz w:val="84"/>
          <w:szCs w:val="84"/>
        </w:rPr>
        <w:t>合</w:t>
      </w:r>
      <w:r>
        <w:rPr>
          <w:rFonts w:ascii="微软雅黑" w:hAnsi="微软雅黑" w:eastAsia="微软雅黑" w:cs="黑体"/>
          <w:b/>
          <w:color w:val="auto"/>
          <w:sz w:val="84"/>
          <w:szCs w:val="84"/>
        </w:rPr>
        <w:t xml:space="preserve"> </w:t>
      </w:r>
      <w:r>
        <w:rPr>
          <w:rFonts w:hint="eastAsia" w:ascii="微软雅黑" w:hAnsi="微软雅黑" w:eastAsia="微软雅黑" w:cs="黑体"/>
          <w:b/>
          <w:color w:val="auto"/>
          <w:sz w:val="84"/>
          <w:szCs w:val="84"/>
        </w:rPr>
        <w:t>同</w:t>
      </w:r>
      <w:r>
        <w:rPr>
          <w:rFonts w:ascii="微软雅黑" w:hAnsi="微软雅黑" w:eastAsia="微软雅黑" w:cs="黑体"/>
          <w:b/>
          <w:color w:val="auto"/>
          <w:sz w:val="84"/>
          <w:szCs w:val="84"/>
        </w:rPr>
        <w:t xml:space="preserve"> </w:t>
      </w:r>
      <w:r>
        <w:rPr>
          <w:rFonts w:hint="eastAsia" w:ascii="微软雅黑" w:hAnsi="微软雅黑" w:eastAsia="微软雅黑" w:cs="黑体"/>
          <w:b/>
          <w:color w:val="auto"/>
          <w:sz w:val="84"/>
          <w:szCs w:val="84"/>
        </w:rPr>
        <w:t>书</w:t>
      </w:r>
    </w:p>
    <w:p w14:paraId="0F909B89">
      <w:pPr>
        <w:adjustRightInd w:val="0"/>
        <w:snapToGrid w:val="0"/>
        <w:spacing w:line="360" w:lineRule="auto"/>
        <w:rPr>
          <w:rFonts w:ascii="微软雅黑" w:hAnsi="微软雅黑" w:eastAsia="微软雅黑"/>
          <w:b/>
          <w:color w:val="auto"/>
          <w:sz w:val="24"/>
        </w:rPr>
      </w:pPr>
    </w:p>
    <w:p w14:paraId="1BB97DEE">
      <w:pPr>
        <w:adjustRightInd w:val="0"/>
        <w:snapToGrid w:val="0"/>
        <w:spacing w:line="360" w:lineRule="auto"/>
        <w:rPr>
          <w:rFonts w:ascii="微软雅黑" w:hAnsi="微软雅黑" w:eastAsia="微软雅黑"/>
          <w:b/>
          <w:color w:val="auto"/>
          <w:sz w:val="24"/>
        </w:rPr>
      </w:pPr>
    </w:p>
    <w:p w14:paraId="5DA2C43D">
      <w:pPr>
        <w:adjustRightInd w:val="0"/>
        <w:snapToGrid w:val="0"/>
        <w:spacing w:line="360" w:lineRule="auto"/>
        <w:rPr>
          <w:rFonts w:ascii="微软雅黑" w:hAnsi="微软雅黑" w:eastAsia="微软雅黑"/>
          <w:b/>
          <w:color w:val="auto"/>
          <w:sz w:val="24"/>
        </w:rPr>
      </w:pPr>
    </w:p>
    <w:p w14:paraId="4F1969A6">
      <w:pPr>
        <w:adjustRightInd w:val="0"/>
        <w:snapToGrid w:val="0"/>
        <w:spacing w:line="360" w:lineRule="auto"/>
        <w:ind w:firstLine="1883" w:firstLineChars="784"/>
        <w:rPr>
          <w:rFonts w:ascii="微软雅黑" w:hAnsi="微软雅黑" w:eastAsia="微软雅黑" w:cs="黑体"/>
          <w:b/>
          <w:color w:val="auto"/>
          <w:sz w:val="24"/>
        </w:rPr>
      </w:pPr>
      <w:r>
        <w:rPr>
          <w:rFonts w:hint="eastAsia" w:ascii="微软雅黑" w:hAnsi="微软雅黑" w:eastAsia="微软雅黑" w:cs="黑体"/>
          <w:b/>
          <w:color w:val="auto"/>
          <w:sz w:val="24"/>
        </w:rPr>
        <w:t>项目名称：</w:t>
      </w:r>
      <w:r>
        <w:rPr>
          <w:rFonts w:ascii="微软雅黑" w:hAnsi="微软雅黑" w:eastAsia="微软雅黑" w:cs="黑体"/>
          <w:b/>
          <w:color w:val="auto"/>
          <w:sz w:val="24"/>
          <w:u w:val="single"/>
        </w:rPr>
        <w:t xml:space="preserve">                           </w:t>
      </w:r>
    </w:p>
    <w:p w14:paraId="2760D1A0">
      <w:pPr>
        <w:adjustRightInd w:val="0"/>
        <w:snapToGrid w:val="0"/>
        <w:spacing w:line="360" w:lineRule="auto"/>
        <w:ind w:firstLine="1883" w:firstLineChars="784"/>
        <w:rPr>
          <w:rFonts w:ascii="微软雅黑" w:hAnsi="微软雅黑" w:eastAsia="微软雅黑" w:cs="黑体"/>
          <w:b/>
          <w:color w:val="auto"/>
          <w:sz w:val="24"/>
        </w:rPr>
      </w:pPr>
      <w:r>
        <w:rPr>
          <w:rFonts w:hint="eastAsia" w:ascii="微软雅黑" w:hAnsi="微软雅黑" w:eastAsia="微软雅黑" w:cs="黑体"/>
          <w:b/>
          <w:color w:val="auto"/>
          <w:sz w:val="24"/>
        </w:rPr>
        <w:t>合同编号：</w:t>
      </w:r>
      <w:r>
        <w:rPr>
          <w:rFonts w:ascii="微软雅黑" w:hAnsi="微软雅黑" w:eastAsia="微软雅黑" w:cs="黑体"/>
          <w:b/>
          <w:color w:val="auto"/>
          <w:sz w:val="24"/>
          <w:u w:val="single"/>
        </w:rPr>
        <w:t xml:space="preserve">                           </w:t>
      </w:r>
      <w:r>
        <w:rPr>
          <w:rFonts w:ascii="微软雅黑" w:hAnsi="微软雅黑" w:eastAsia="微软雅黑" w:cs="黑体"/>
          <w:b/>
          <w:color w:val="auto"/>
          <w:sz w:val="24"/>
        </w:rPr>
        <w:t xml:space="preserve"> </w:t>
      </w:r>
    </w:p>
    <w:p w14:paraId="5C7B20BF">
      <w:pPr>
        <w:adjustRightInd w:val="0"/>
        <w:snapToGrid w:val="0"/>
        <w:spacing w:line="360" w:lineRule="auto"/>
        <w:ind w:firstLine="1883" w:firstLineChars="784"/>
        <w:rPr>
          <w:rFonts w:ascii="微软雅黑" w:hAnsi="微软雅黑" w:eastAsia="微软雅黑" w:cs="黑体"/>
          <w:b/>
          <w:color w:val="auto"/>
          <w:sz w:val="24"/>
        </w:rPr>
      </w:pPr>
      <w:r>
        <w:rPr>
          <w:rFonts w:hint="eastAsia" w:ascii="微软雅黑" w:hAnsi="微软雅黑" w:eastAsia="微软雅黑" w:cs="黑体"/>
          <w:b/>
          <w:color w:val="auto"/>
          <w:sz w:val="24"/>
        </w:rPr>
        <w:t>签约地点：</w:t>
      </w:r>
      <w:r>
        <w:rPr>
          <w:rFonts w:ascii="微软雅黑" w:hAnsi="微软雅黑" w:eastAsia="微软雅黑" w:cs="黑体"/>
          <w:b/>
          <w:color w:val="auto"/>
          <w:sz w:val="24"/>
          <w:u w:val="single"/>
        </w:rPr>
        <w:t xml:space="preserve">                           </w:t>
      </w:r>
      <w:r>
        <w:rPr>
          <w:rFonts w:ascii="微软雅黑" w:hAnsi="微软雅黑" w:eastAsia="微软雅黑" w:cs="黑体"/>
          <w:b/>
          <w:color w:val="auto"/>
          <w:sz w:val="24"/>
        </w:rPr>
        <w:t xml:space="preserve"> </w:t>
      </w:r>
    </w:p>
    <w:p w14:paraId="3316294C">
      <w:pPr>
        <w:adjustRightInd w:val="0"/>
        <w:snapToGrid w:val="0"/>
        <w:spacing w:line="360" w:lineRule="auto"/>
        <w:ind w:firstLine="1883" w:firstLineChars="784"/>
        <w:rPr>
          <w:rFonts w:ascii="微软雅黑" w:hAnsi="微软雅黑" w:eastAsia="微软雅黑" w:cs="黑体"/>
          <w:b/>
          <w:color w:val="auto"/>
          <w:sz w:val="28"/>
          <w:szCs w:val="28"/>
        </w:rPr>
      </w:pPr>
      <w:r>
        <w:rPr>
          <w:rFonts w:hint="eastAsia" w:ascii="微软雅黑" w:hAnsi="微软雅黑" w:eastAsia="微软雅黑" w:cs="黑体"/>
          <w:b/>
          <w:color w:val="auto"/>
          <w:sz w:val="24"/>
        </w:rPr>
        <w:t>签约时间：</w:t>
      </w:r>
      <w:r>
        <w:rPr>
          <w:rFonts w:ascii="微软雅黑" w:hAnsi="微软雅黑" w:eastAsia="微软雅黑" w:cs="黑体"/>
          <w:b/>
          <w:color w:val="auto"/>
          <w:sz w:val="24"/>
          <w:u w:val="single"/>
        </w:rPr>
        <w:t xml:space="preserve">                           </w:t>
      </w:r>
    </w:p>
    <w:p w14:paraId="7A679C4A">
      <w:pPr>
        <w:spacing w:line="360" w:lineRule="auto"/>
        <w:jc w:val="center"/>
        <w:rPr>
          <w:rFonts w:ascii="黑体" w:hAnsi="黑体" w:eastAsia="黑体" w:cs="黑体"/>
          <w:b/>
          <w:color w:val="auto"/>
          <w:sz w:val="24"/>
        </w:rPr>
      </w:pPr>
    </w:p>
    <w:p w14:paraId="060DEF36">
      <w:pPr>
        <w:spacing w:line="360" w:lineRule="auto"/>
        <w:jc w:val="center"/>
        <w:rPr>
          <w:rFonts w:ascii="黑体" w:hAnsi="黑体" w:eastAsia="黑体" w:cs="黑体"/>
          <w:b/>
          <w:color w:val="auto"/>
          <w:sz w:val="24"/>
        </w:rPr>
      </w:pPr>
    </w:p>
    <w:p w14:paraId="68C55F87">
      <w:pPr>
        <w:spacing w:line="360" w:lineRule="auto"/>
        <w:jc w:val="center"/>
        <w:rPr>
          <w:rFonts w:ascii="黑体" w:hAnsi="黑体" w:eastAsia="黑体" w:cs="黑体"/>
          <w:b/>
          <w:color w:val="auto"/>
          <w:sz w:val="24"/>
        </w:rPr>
      </w:pPr>
      <w:r>
        <w:rPr>
          <w:rFonts w:hint="eastAsia" w:ascii="黑体" w:hAnsi="黑体" w:eastAsia="黑体" w:cs="黑体"/>
          <w:b/>
          <w:color w:val="auto"/>
          <w:sz w:val="24"/>
        </w:rPr>
        <w:t>注：本合同仅为合同的参考文本，合同签订双方可根据项目的具体要求进行修订。</w:t>
      </w:r>
    </w:p>
    <w:p w14:paraId="4ED3704D">
      <w:pPr>
        <w:pStyle w:val="130"/>
        <w:snapToGrid w:val="0"/>
        <w:spacing w:line="360" w:lineRule="auto"/>
        <w:jc w:val="both"/>
        <w:rPr>
          <w:rFonts w:hint="default" w:ascii="宋体" w:hAnsi="宋体" w:eastAsia="宋体" w:cs="宋体"/>
          <w:color w:val="auto"/>
          <w:sz w:val="21"/>
          <w:szCs w:val="21"/>
        </w:rPr>
      </w:pPr>
      <w:r>
        <w:rPr>
          <w:rFonts w:ascii="微软雅黑" w:hAnsi="微软雅黑" w:eastAsia="微软雅黑" w:cs="黑体"/>
          <w:b/>
          <w:color w:val="auto"/>
          <w:sz w:val="24"/>
        </w:rPr>
        <w:br w:type="page"/>
      </w:r>
      <w:bookmarkEnd w:id="52"/>
      <w:bookmarkEnd w:id="53"/>
      <w:bookmarkEnd w:id="54"/>
      <w:bookmarkEnd w:id="55"/>
      <w:bookmarkEnd w:id="56"/>
      <w:bookmarkEnd w:id="57"/>
      <w:bookmarkStart w:id="58" w:name="_Toc453695703"/>
      <w:bookmarkStart w:id="59" w:name="_Toc453695576"/>
      <w:bookmarkStart w:id="60" w:name="_Toc461991235"/>
      <w:r>
        <w:rPr>
          <w:rFonts w:ascii="宋体" w:hAnsi="宋体" w:eastAsia="宋体" w:cs="宋体"/>
          <w:b/>
          <w:color w:val="auto"/>
          <w:sz w:val="21"/>
          <w:szCs w:val="21"/>
        </w:rPr>
        <w:t xml:space="preserve">甲方： </w:t>
      </w:r>
      <w:r>
        <w:rPr>
          <w:rFonts w:ascii="宋体" w:hAnsi="宋体" w:eastAsia="宋体" w:cs="宋体"/>
          <w:color w:val="auto"/>
          <w:sz w:val="21"/>
          <w:szCs w:val="21"/>
          <w:u w:val="single"/>
        </w:rPr>
        <w:t xml:space="preserve">　　　　　  </w:t>
      </w:r>
    </w:p>
    <w:p w14:paraId="76759B1A">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color w:val="auto"/>
          <w:sz w:val="21"/>
          <w:szCs w:val="21"/>
        </w:rPr>
        <w:t xml:space="preserve">电话： </w:t>
      </w:r>
      <w:r>
        <w:rPr>
          <w:rFonts w:ascii="宋体" w:hAnsi="宋体" w:eastAsia="宋体" w:cs="宋体"/>
          <w:color w:val="auto"/>
          <w:sz w:val="21"/>
          <w:szCs w:val="21"/>
          <w:u w:val="single"/>
        </w:rPr>
        <w:t xml:space="preserve">　　　　  </w:t>
      </w:r>
      <w:r>
        <w:rPr>
          <w:rFonts w:ascii="宋体" w:hAnsi="宋体" w:eastAsia="宋体" w:cs="宋体"/>
          <w:color w:val="auto"/>
          <w:sz w:val="21"/>
          <w:szCs w:val="21"/>
        </w:rPr>
        <w:t xml:space="preserve">传真 ： </w:t>
      </w:r>
      <w:r>
        <w:rPr>
          <w:rFonts w:ascii="宋体" w:hAnsi="宋体" w:eastAsia="宋体" w:cs="宋体"/>
          <w:color w:val="auto"/>
          <w:sz w:val="21"/>
          <w:szCs w:val="21"/>
          <w:u w:val="single"/>
        </w:rPr>
        <w:t xml:space="preserve">　　　  </w:t>
      </w:r>
      <w:r>
        <w:rPr>
          <w:rFonts w:ascii="宋体" w:hAnsi="宋体" w:eastAsia="宋体" w:cs="宋体"/>
          <w:color w:val="auto"/>
          <w:sz w:val="21"/>
          <w:szCs w:val="21"/>
        </w:rPr>
        <w:t xml:space="preserve">地址： </w:t>
      </w:r>
      <w:r>
        <w:rPr>
          <w:rFonts w:ascii="宋体" w:hAnsi="宋体" w:eastAsia="宋体" w:cs="宋体"/>
          <w:color w:val="auto"/>
          <w:sz w:val="21"/>
          <w:szCs w:val="21"/>
          <w:u w:val="single"/>
        </w:rPr>
        <w:t xml:space="preserve">　　　   </w:t>
      </w:r>
    </w:p>
    <w:p w14:paraId="0245A1E8">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 xml:space="preserve">乙方： </w:t>
      </w:r>
      <w:r>
        <w:rPr>
          <w:rFonts w:ascii="宋体" w:hAnsi="宋体" w:eastAsia="宋体" w:cs="宋体"/>
          <w:color w:val="auto"/>
          <w:sz w:val="21"/>
          <w:szCs w:val="21"/>
          <w:u w:val="single"/>
        </w:rPr>
        <w:t xml:space="preserve">　　　　　  </w:t>
      </w:r>
    </w:p>
    <w:p w14:paraId="7ACD7DE5">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color w:val="auto"/>
          <w:sz w:val="21"/>
          <w:szCs w:val="21"/>
        </w:rPr>
        <w:t xml:space="preserve">电话： </w:t>
      </w:r>
      <w:r>
        <w:rPr>
          <w:rFonts w:ascii="宋体" w:hAnsi="宋体" w:eastAsia="宋体" w:cs="宋体"/>
          <w:color w:val="auto"/>
          <w:sz w:val="21"/>
          <w:szCs w:val="21"/>
          <w:u w:val="single"/>
        </w:rPr>
        <w:t xml:space="preserve">　　　　   </w:t>
      </w:r>
      <w:r>
        <w:rPr>
          <w:rFonts w:ascii="宋体" w:hAnsi="宋体" w:eastAsia="宋体" w:cs="宋体"/>
          <w:color w:val="auto"/>
          <w:sz w:val="21"/>
          <w:szCs w:val="21"/>
        </w:rPr>
        <w:t>传真：</w:t>
      </w:r>
      <w:r>
        <w:rPr>
          <w:rFonts w:ascii="宋体" w:hAnsi="宋体" w:eastAsia="宋体" w:cs="宋体"/>
          <w:color w:val="auto"/>
          <w:sz w:val="21"/>
          <w:szCs w:val="21"/>
          <w:u w:val="single"/>
        </w:rPr>
        <w:t xml:space="preserve">　　　   </w:t>
      </w:r>
      <w:r>
        <w:rPr>
          <w:rFonts w:ascii="宋体" w:hAnsi="宋体" w:eastAsia="宋体" w:cs="宋体"/>
          <w:color w:val="auto"/>
          <w:sz w:val="21"/>
          <w:szCs w:val="21"/>
        </w:rPr>
        <w:t xml:space="preserve">地址： </w:t>
      </w:r>
      <w:r>
        <w:rPr>
          <w:rFonts w:ascii="宋体" w:hAnsi="宋体" w:eastAsia="宋体" w:cs="宋体"/>
          <w:color w:val="auto"/>
          <w:sz w:val="21"/>
          <w:szCs w:val="21"/>
          <w:u w:val="single"/>
        </w:rPr>
        <w:t xml:space="preserve">　　　   </w:t>
      </w:r>
    </w:p>
    <w:p w14:paraId="3B921551">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color w:val="auto"/>
          <w:sz w:val="21"/>
          <w:szCs w:val="21"/>
        </w:rPr>
        <w:t xml:space="preserve">     根据</w:t>
      </w:r>
      <w:r>
        <w:rPr>
          <w:rFonts w:ascii="宋体" w:hAnsi="宋体" w:eastAsia="宋体" w:cs="宋体"/>
          <w:color w:val="auto"/>
          <w:sz w:val="21"/>
          <w:szCs w:val="21"/>
          <w:u w:val="single"/>
          <w:lang w:eastAsia="zh-CN"/>
        </w:rPr>
        <w:t xml:space="preserve">        项目</w:t>
      </w:r>
      <w:r>
        <w:rPr>
          <w:rFonts w:ascii="宋体" w:hAnsi="宋体" w:eastAsia="宋体" w:cs="宋体"/>
          <w:color w:val="auto"/>
          <w:sz w:val="21"/>
          <w:szCs w:val="21"/>
        </w:rPr>
        <w:t>的采购结果，按照《中华人民共和国政府采购法》，《中华人民共和国民法典(合同编)》的规定，经双方协商，本着平等互利和诚实信用的原则，一致同意遵守本合同如下。</w:t>
      </w:r>
    </w:p>
    <w:p w14:paraId="24BC0264">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一、合同金额</w:t>
      </w:r>
    </w:p>
    <w:p w14:paraId="207FC835">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w:t>
      </w:r>
      <w:r>
        <w:rPr>
          <w:rFonts w:ascii="宋体" w:hAnsi="宋体" w:eastAsia="宋体" w:cs="宋体"/>
          <w:color w:val="auto"/>
          <w:sz w:val="21"/>
          <w:szCs w:val="21"/>
        </w:rPr>
        <w:t>大写：人民币_________________元（小写：¥_______________元），其中绿色施工安全防护措施费为¥_______________元，暂估价为¥_______________元；暂列金额为¥_______________元。合同金额包含完成本项目全部内容的人工费、材料费、机械费、管理费、利润、项目措施费、规费、税金、预留金以及施工采购包含的所有风险、责任等各项应有费用。</w:t>
      </w:r>
    </w:p>
    <w:p w14:paraId="17E5B1A3">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二、主要建设内容</w:t>
      </w:r>
    </w:p>
    <w:p w14:paraId="0010A310">
      <w:pPr>
        <w:pStyle w:val="130"/>
        <w:snapToGrid w:val="0"/>
        <w:spacing w:line="360" w:lineRule="auto"/>
        <w:ind w:firstLine="420" w:firstLineChars="200"/>
        <w:rPr>
          <w:rFonts w:hint="default" w:ascii="宋体" w:hAnsi="宋体" w:eastAsia="宋体" w:cs="宋体"/>
          <w:color w:val="auto"/>
          <w:sz w:val="21"/>
          <w:szCs w:val="21"/>
          <w:lang w:eastAsia="zh-CN"/>
        </w:rPr>
      </w:pPr>
      <w:r>
        <w:rPr>
          <w:rFonts w:hint="eastAsia" w:ascii="宋体" w:hAnsi="宋体" w:eastAsia="宋体" w:cs="宋体"/>
          <w:color w:val="auto"/>
          <w:sz w:val="21"/>
          <w:szCs w:val="21"/>
          <w:lang w:eastAsia="zh-CN"/>
        </w:rPr>
        <w:t>建筑工程、安装工程、通风工程等内容</w:t>
      </w:r>
      <w:r>
        <w:rPr>
          <w:rFonts w:ascii="宋体" w:hAnsi="宋体" w:eastAsia="宋体" w:cs="宋体"/>
          <w:color w:val="auto"/>
          <w:sz w:val="21"/>
          <w:szCs w:val="21"/>
        </w:rPr>
        <w:t>，</w:t>
      </w:r>
      <w:r>
        <w:rPr>
          <w:rFonts w:ascii="宋体" w:hAnsi="宋体" w:eastAsia="宋体" w:cs="宋体"/>
          <w:color w:val="auto"/>
          <w:sz w:val="21"/>
          <w:szCs w:val="21"/>
          <w:lang w:eastAsia="zh-CN"/>
        </w:rPr>
        <w:t>具体内容详见施工图和工程量清单。</w:t>
      </w:r>
    </w:p>
    <w:p w14:paraId="2E60C1F4">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三、工期</w:t>
      </w:r>
    </w:p>
    <w:p w14:paraId="39CDB95C">
      <w:pPr>
        <w:pStyle w:val="130"/>
        <w:snapToGrid w:val="0"/>
        <w:spacing w:line="360" w:lineRule="auto"/>
        <w:ind w:firstLine="420"/>
        <w:rPr>
          <w:rFonts w:hint="default" w:ascii="宋体" w:hAnsi="宋体" w:eastAsia="宋体" w:cs="宋体"/>
          <w:color w:val="auto"/>
          <w:sz w:val="21"/>
          <w:szCs w:val="21"/>
        </w:rPr>
      </w:pPr>
      <w:r>
        <w:rPr>
          <w:rFonts w:hint="eastAsia" w:ascii="宋体" w:hAnsi="宋体" w:eastAsia="宋体" w:cs="宋体"/>
          <w:color w:val="auto"/>
          <w:sz w:val="21"/>
          <w:szCs w:val="21"/>
          <w:lang w:eastAsia="zh-CN"/>
        </w:rPr>
        <w:t>15个日历天，乙方必须在所要求的工期内完成全部招标工程</w:t>
      </w:r>
      <w:r>
        <w:rPr>
          <w:rFonts w:ascii="宋体" w:hAnsi="宋体" w:eastAsia="宋体" w:cs="宋体"/>
          <w:color w:val="auto"/>
          <w:sz w:val="21"/>
          <w:szCs w:val="21"/>
        </w:rPr>
        <w:t>。</w:t>
      </w:r>
    </w:p>
    <w:p w14:paraId="25FFD0DC">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四、</w:t>
      </w:r>
      <w:r>
        <w:rPr>
          <w:rFonts w:hint="eastAsia" w:ascii="宋体" w:hAnsi="宋体" w:eastAsia="宋体" w:cs="宋体"/>
          <w:b/>
          <w:color w:val="auto"/>
          <w:sz w:val="21"/>
          <w:szCs w:val="21"/>
          <w:lang w:val="en-US" w:eastAsia="zh-CN"/>
        </w:rPr>
        <w:t>施工</w:t>
      </w:r>
      <w:r>
        <w:rPr>
          <w:rFonts w:ascii="宋体" w:hAnsi="宋体" w:eastAsia="宋体" w:cs="宋体"/>
          <w:b/>
          <w:color w:val="auto"/>
          <w:sz w:val="21"/>
          <w:szCs w:val="21"/>
        </w:rPr>
        <w:t>地点</w:t>
      </w:r>
    </w:p>
    <w:p w14:paraId="7C6D0B35">
      <w:pPr>
        <w:pStyle w:val="130"/>
        <w:snapToGrid w:val="0"/>
        <w:spacing w:line="360" w:lineRule="auto"/>
        <w:ind w:firstLine="42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甲方指定地点</w:t>
      </w:r>
    </w:p>
    <w:p w14:paraId="1784CF02">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五、项目具体要求</w:t>
      </w:r>
    </w:p>
    <w:p w14:paraId="52D56841">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lang w:eastAsia="zh-CN"/>
        </w:rPr>
        <w:t>（一）</w:t>
      </w:r>
      <w:r>
        <w:rPr>
          <w:rFonts w:ascii="宋体" w:hAnsi="宋体" w:eastAsia="宋体" w:cs="宋体"/>
          <w:b/>
          <w:color w:val="auto"/>
          <w:sz w:val="21"/>
          <w:szCs w:val="21"/>
        </w:rPr>
        <w:t>质量标准和材料要求</w:t>
      </w:r>
    </w:p>
    <w:p w14:paraId="177764BE">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w:t>
      </w:r>
      <w:r>
        <w:rPr>
          <w:rFonts w:ascii="宋体" w:hAnsi="宋体" w:eastAsia="宋体" w:cs="宋体"/>
          <w:color w:val="auto"/>
          <w:sz w:val="21"/>
          <w:szCs w:val="21"/>
        </w:rPr>
        <w:t>施工工艺严格按照国家和广东省的有关现行施工技术规范及标准执行，工程质量标准须达到合格标准，如未达到合格标准，则按合同价款的1%向</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返纳质量违约金，并由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负责返修至达到合格标准，返修费用由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承担，同时承担所有的责任及经济损失。</w:t>
      </w:r>
    </w:p>
    <w:p w14:paraId="3422CE2A">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在施工中如果工程质量不符合设计要求和有关规定，</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或监理单位要求停工和返工的必须立即执行，并承担由此产生的各种费用，工期不予顺延。</w:t>
      </w:r>
    </w:p>
    <w:p w14:paraId="3E204D2F">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eastAsia="zh-CN"/>
        </w:rPr>
        <w:t>.</w:t>
      </w:r>
      <w:r>
        <w:rPr>
          <w:rFonts w:ascii="宋体" w:hAnsi="宋体" w:eastAsia="宋体" w:cs="宋体"/>
          <w:color w:val="auto"/>
          <w:sz w:val="21"/>
          <w:szCs w:val="21"/>
        </w:rPr>
        <w:t>工程使用的主要材料质量要求不低于招标工程量清单所列的要求。主要材料必须先提供样板给</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确定其颜色、等级等，并经检测部门检测合格方可使用，所有材料必须使用合格产品。</w:t>
      </w:r>
    </w:p>
    <w:p w14:paraId="22B5D0CD">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lang w:eastAsia="zh-CN"/>
        </w:rPr>
        <w:t>.</w:t>
      </w:r>
      <w:r>
        <w:rPr>
          <w:rFonts w:ascii="宋体" w:hAnsi="宋体" w:eastAsia="宋体" w:cs="宋体"/>
          <w:color w:val="auto"/>
          <w:sz w:val="21"/>
          <w:szCs w:val="21"/>
        </w:rPr>
        <w:t>由于</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提供的伪劣、假冒等所有不合格材料而导致的损失、事故及一切后果，均由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负责并赔偿</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所有损失，并负责更换所有已施工的不合格材料。</w:t>
      </w:r>
    </w:p>
    <w:p w14:paraId="2DC36855">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保留对本工程使用之主要材料品质确认审查的权利及保留另行委托专业单位对本工程进行独立检测的权利。</w:t>
      </w:r>
    </w:p>
    <w:p w14:paraId="395C8EE0">
      <w:pPr>
        <w:pStyle w:val="130"/>
        <w:adjustRightInd w:val="0"/>
        <w:snapToGrid w:val="0"/>
        <w:spacing w:line="360" w:lineRule="auto"/>
        <w:ind w:firstLine="420" w:firstLineChars="200"/>
        <w:jc w:val="both"/>
        <w:rPr>
          <w:rFonts w:hint="default" w:ascii="宋体" w:hAnsi="宋体" w:eastAsia="宋体" w:cs="宋体"/>
          <w:bCs/>
          <w:color w:val="auto"/>
          <w:sz w:val="21"/>
          <w:szCs w:val="21"/>
          <w:lang w:eastAsia="zh-CN"/>
        </w:rPr>
      </w:pPr>
      <w:r>
        <w:rPr>
          <w:rFonts w:ascii="宋体" w:hAnsi="宋体" w:eastAsia="宋体" w:cs="宋体"/>
          <w:bCs/>
          <w:color w:val="auto"/>
          <w:sz w:val="21"/>
          <w:szCs w:val="21"/>
          <w:lang w:eastAsia="zh-CN"/>
        </w:rPr>
        <w:t>6</w:t>
      </w:r>
      <w:r>
        <w:rPr>
          <w:rFonts w:hint="eastAsia" w:ascii="宋体" w:hAnsi="宋体" w:eastAsia="宋体" w:cs="宋体"/>
          <w:bCs/>
          <w:color w:val="auto"/>
          <w:sz w:val="21"/>
          <w:szCs w:val="21"/>
          <w:lang w:eastAsia="zh-CN"/>
        </w:rPr>
        <w:t>.门窗等</w:t>
      </w:r>
      <w:r>
        <w:rPr>
          <w:rFonts w:ascii="宋体" w:hAnsi="宋体" w:eastAsia="宋体" w:cs="宋体"/>
          <w:bCs/>
          <w:color w:val="auto"/>
          <w:sz w:val="21"/>
          <w:szCs w:val="21"/>
          <w:lang w:eastAsia="zh-CN"/>
        </w:rPr>
        <w:t>的实际尺寸可能和图纸会有差异，</w:t>
      </w:r>
      <w:r>
        <w:rPr>
          <w:rFonts w:hint="eastAsia" w:ascii="宋体" w:hAnsi="宋体" w:eastAsia="宋体" w:cs="宋体"/>
          <w:bCs/>
          <w:color w:val="auto"/>
          <w:sz w:val="21"/>
          <w:szCs w:val="21"/>
          <w:lang w:eastAsia="zh-CN"/>
        </w:rPr>
        <w:t>乙方</w:t>
      </w:r>
      <w:r>
        <w:rPr>
          <w:rFonts w:ascii="宋体" w:hAnsi="宋体" w:eastAsia="宋体" w:cs="宋体"/>
          <w:bCs/>
          <w:color w:val="auto"/>
          <w:sz w:val="21"/>
          <w:szCs w:val="21"/>
          <w:lang w:eastAsia="zh-CN"/>
        </w:rPr>
        <w:t>须进行复核，最终以实际测量尺寸为准。</w:t>
      </w:r>
    </w:p>
    <w:p w14:paraId="67507DCE">
      <w:pPr>
        <w:pStyle w:val="130"/>
        <w:adjustRightInd w:val="0"/>
        <w:snapToGrid w:val="0"/>
        <w:spacing w:line="360" w:lineRule="auto"/>
        <w:ind w:firstLine="420" w:firstLineChars="200"/>
        <w:jc w:val="both"/>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7.中标后，</w:t>
      </w:r>
      <w:r>
        <w:rPr>
          <w:rFonts w:hint="eastAsia" w:ascii="宋体" w:hAnsi="宋体" w:eastAsia="宋体" w:cs="宋体"/>
          <w:color w:val="auto"/>
          <w:sz w:val="21"/>
          <w:szCs w:val="21"/>
          <w:lang w:eastAsia="zh-CN"/>
        </w:rPr>
        <w:t>乙方</w:t>
      </w:r>
      <w:r>
        <w:rPr>
          <w:rFonts w:ascii="宋体" w:hAnsi="宋体" w:eastAsia="宋体" w:cs="宋体"/>
          <w:bCs/>
          <w:color w:val="auto"/>
          <w:sz w:val="21"/>
          <w:szCs w:val="21"/>
          <w:lang w:eastAsia="zh-CN"/>
        </w:rPr>
        <w:t>须</w:t>
      </w:r>
      <w:r>
        <w:rPr>
          <w:rFonts w:hint="eastAsia" w:ascii="宋体" w:hAnsi="宋体" w:eastAsia="宋体" w:cs="宋体"/>
          <w:bCs/>
          <w:color w:val="auto"/>
          <w:sz w:val="21"/>
          <w:szCs w:val="21"/>
          <w:lang w:val="en-US" w:eastAsia="zh-CN"/>
        </w:rPr>
        <w:t>对工程量清单内容</w:t>
      </w:r>
      <w:r>
        <w:rPr>
          <w:rFonts w:ascii="宋体" w:hAnsi="宋体" w:eastAsia="宋体" w:cs="宋体"/>
          <w:bCs/>
          <w:color w:val="auto"/>
          <w:sz w:val="21"/>
          <w:szCs w:val="21"/>
          <w:lang w:eastAsia="zh-CN"/>
        </w:rPr>
        <w:t>进行复核</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最终</w:t>
      </w:r>
      <w:r>
        <w:rPr>
          <w:rFonts w:hint="eastAsia" w:ascii="宋体" w:hAnsi="宋体" w:eastAsia="宋体" w:cs="宋体"/>
          <w:bCs/>
          <w:color w:val="auto"/>
          <w:sz w:val="21"/>
          <w:szCs w:val="21"/>
          <w:lang w:eastAsia="zh-CN"/>
        </w:rPr>
        <w:t>以实际</w:t>
      </w:r>
      <w:r>
        <w:rPr>
          <w:rFonts w:hint="eastAsia" w:ascii="宋体" w:hAnsi="宋体" w:eastAsia="宋体" w:cs="宋体"/>
          <w:bCs/>
          <w:color w:val="auto"/>
          <w:sz w:val="21"/>
          <w:szCs w:val="21"/>
          <w:lang w:val="en-US" w:eastAsia="zh-CN"/>
        </w:rPr>
        <w:t>发生的工程量</w:t>
      </w:r>
      <w:r>
        <w:rPr>
          <w:rFonts w:hint="eastAsia" w:ascii="宋体" w:hAnsi="宋体" w:eastAsia="宋体" w:cs="宋体"/>
          <w:bCs/>
          <w:color w:val="auto"/>
          <w:sz w:val="21"/>
          <w:szCs w:val="21"/>
          <w:lang w:eastAsia="zh-CN"/>
        </w:rPr>
        <w:t>为准。</w:t>
      </w:r>
    </w:p>
    <w:p w14:paraId="65F9FA49">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lang w:eastAsia="zh-CN"/>
        </w:rPr>
        <w:t>（二）</w:t>
      </w:r>
      <w:r>
        <w:rPr>
          <w:rFonts w:ascii="宋体" w:hAnsi="宋体" w:eastAsia="宋体" w:cs="宋体"/>
          <w:b/>
          <w:color w:val="auto"/>
          <w:sz w:val="21"/>
          <w:szCs w:val="21"/>
        </w:rPr>
        <w:t>工程承包方式</w:t>
      </w:r>
    </w:p>
    <w:p w14:paraId="368DC562">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以成交金额按包工包料、包质量、包安全文明施工、包工期方式总承包施工，不允许转包和违法分包。</w:t>
      </w:r>
    </w:p>
    <w:p w14:paraId="37704739">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lang w:eastAsia="zh-CN"/>
        </w:rPr>
        <w:t>.</w:t>
      </w:r>
      <w:r>
        <w:rPr>
          <w:rFonts w:ascii="宋体" w:hAnsi="宋体" w:eastAsia="宋体" w:cs="宋体"/>
          <w:color w:val="auto"/>
          <w:sz w:val="21"/>
          <w:szCs w:val="21"/>
        </w:rPr>
        <w:t>包工包料：材料符合磋商文件要求并报验使用；办理用工保险。</w:t>
      </w:r>
    </w:p>
    <w:p w14:paraId="119B2534">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eastAsia="zh-CN"/>
        </w:rPr>
        <w:t>.</w:t>
      </w:r>
      <w:r>
        <w:rPr>
          <w:rFonts w:ascii="宋体" w:hAnsi="宋体" w:eastAsia="宋体" w:cs="宋体"/>
          <w:color w:val="auto"/>
          <w:sz w:val="21"/>
          <w:szCs w:val="21"/>
        </w:rPr>
        <w:t>包质量：符合磋商文件要求。</w:t>
      </w:r>
    </w:p>
    <w:p w14:paraId="54053FB5">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lang w:eastAsia="zh-CN"/>
        </w:rPr>
        <w:t>.</w:t>
      </w:r>
      <w:r>
        <w:rPr>
          <w:rFonts w:ascii="宋体" w:hAnsi="宋体" w:eastAsia="宋体" w:cs="宋体"/>
          <w:color w:val="auto"/>
          <w:sz w:val="21"/>
          <w:szCs w:val="21"/>
        </w:rPr>
        <w:t>包安全包文明施工：符合磋商文件要求。</w:t>
      </w:r>
    </w:p>
    <w:p w14:paraId="2B5D0482">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lang w:eastAsia="zh-CN"/>
        </w:rPr>
        <w:t>.</w:t>
      </w:r>
      <w:r>
        <w:rPr>
          <w:rFonts w:ascii="宋体" w:hAnsi="宋体" w:eastAsia="宋体" w:cs="宋体"/>
          <w:color w:val="auto"/>
          <w:sz w:val="21"/>
          <w:szCs w:val="21"/>
        </w:rPr>
        <w:t>包工期：本工程施工必须在招标工期内完成。</w:t>
      </w:r>
    </w:p>
    <w:p w14:paraId="57327977">
      <w:pPr>
        <w:pStyle w:val="130"/>
        <w:adjustRightInd w:val="0"/>
        <w:snapToGrid w:val="0"/>
        <w:spacing w:line="360" w:lineRule="auto"/>
        <w:ind w:firstLine="422" w:firstLineChars="200"/>
        <w:jc w:val="both"/>
        <w:rPr>
          <w:rFonts w:hint="default" w:ascii="宋体" w:hAnsi="宋体" w:eastAsia="宋体" w:cs="宋体"/>
          <w:color w:val="auto"/>
          <w:sz w:val="21"/>
          <w:szCs w:val="21"/>
        </w:rPr>
      </w:pPr>
      <w:r>
        <w:rPr>
          <w:rFonts w:ascii="宋体" w:hAnsi="宋体" w:eastAsia="宋体" w:cs="宋体"/>
          <w:b/>
          <w:color w:val="auto"/>
          <w:sz w:val="21"/>
          <w:szCs w:val="21"/>
          <w:lang w:eastAsia="zh-CN"/>
        </w:rPr>
        <w:t>（三）</w:t>
      </w:r>
      <w:r>
        <w:rPr>
          <w:rFonts w:ascii="宋体" w:hAnsi="宋体" w:eastAsia="宋体" w:cs="宋体"/>
          <w:b/>
          <w:color w:val="auto"/>
          <w:sz w:val="21"/>
          <w:szCs w:val="21"/>
        </w:rPr>
        <w:t>施工条件及要求</w:t>
      </w:r>
    </w:p>
    <w:p w14:paraId="6716CF2B">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在施工期间应严格遵守《中华人民共和国安全生产法》、《建设工程安全生产管理条例》以及文明施工、深夜施工、公路管理部门等规定，建立规章制度和防护措施。若违反以上规定，由此造成的经济和法律责任，均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负责。</w:t>
      </w:r>
    </w:p>
    <w:p w14:paraId="4991DC71">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不提供施工所需的食宿、办公、临时及材料加工场地，均由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自行解决，其费用</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自理。</w:t>
      </w:r>
    </w:p>
    <w:p w14:paraId="36887847">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自行解决施工临时用水、用电、通讯设施，相关费用已包含在报价内。</w:t>
      </w:r>
    </w:p>
    <w:p w14:paraId="54BFC304">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应确保施工现场的清洁卫生，建筑垃圾须及时清理干净。</w:t>
      </w:r>
    </w:p>
    <w:p w14:paraId="1FCF58E9">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一旦进场施工，须严格遵守</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的各项规章制度，包括但不限于：</w:t>
      </w:r>
    </w:p>
    <w:p w14:paraId="6CBC848D">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①在规定的地域施工和活动；②项目经理和管理人员须坚守岗位，因事需离开施工现场超过一天的，需提前向</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请假，经</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同意方可离开。</w:t>
      </w:r>
    </w:p>
    <w:p w14:paraId="2CE027AE">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6</w:t>
      </w:r>
      <w:r>
        <w:rPr>
          <w:rFonts w:hint="eastAsia" w:ascii="宋体" w:hAnsi="宋体" w:eastAsia="宋体" w:cs="宋体"/>
          <w:color w:val="auto"/>
          <w:sz w:val="21"/>
          <w:szCs w:val="21"/>
          <w:lang w:eastAsia="zh-CN"/>
        </w:rPr>
        <w:t>.</w:t>
      </w:r>
      <w:r>
        <w:rPr>
          <w:rFonts w:ascii="宋体" w:hAnsi="宋体" w:eastAsia="宋体" w:cs="宋体"/>
          <w:color w:val="auto"/>
          <w:sz w:val="21"/>
          <w:szCs w:val="21"/>
        </w:rPr>
        <w:t>特种作业人员必须持证上岗。</w:t>
      </w:r>
    </w:p>
    <w:p w14:paraId="120DE6EA">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7</w:t>
      </w:r>
      <w:r>
        <w:rPr>
          <w:rFonts w:hint="eastAsia" w:ascii="宋体" w:hAnsi="宋体" w:eastAsia="宋体" w:cs="宋体"/>
          <w:color w:val="auto"/>
          <w:sz w:val="21"/>
          <w:szCs w:val="21"/>
          <w:lang w:eastAsia="zh-CN"/>
        </w:rPr>
        <w:t>.</w:t>
      </w:r>
      <w:r>
        <w:rPr>
          <w:rFonts w:ascii="宋体" w:hAnsi="宋体" w:eastAsia="宋体" w:cs="宋体"/>
          <w:color w:val="auto"/>
          <w:sz w:val="21"/>
          <w:szCs w:val="21"/>
        </w:rPr>
        <w:t>施工作业人员必须全程佩戴安全帽或按行业要求穿戴安全防护用品，违者责任自负。</w:t>
      </w:r>
    </w:p>
    <w:p w14:paraId="39D84547">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w:t>
      </w:r>
      <w:r>
        <w:rPr>
          <w:rFonts w:ascii="宋体" w:hAnsi="宋体" w:eastAsia="宋体" w:cs="宋体"/>
          <w:color w:val="auto"/>
          <w:sz w:val="21"/>
          <w:szCs w:val="21"/>
        </w:rPr>
        <w:t>须制定和落实项目实施方案、质量保证措施、安全生产及文明施工措施等，施工期间须严格管理施工人员，保护好已完工工程成品，发生一切安全事故均由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自行负责。严格加强管理。</w:t>
      </w:r>
    </w:p>
    <w:p w14:paraId="26F88343">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9</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必须按响应文件提供管理人员名单委派现场管理人员，非</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要求的，原则上不得更换。如需更换必须提交书面申请，经</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同意后方能更换，否则当</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违反合同规定处理。</w:t>
      </w:r>
    </w:p>
    <w:p w14:paraId="30F19708">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必须遵守</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施工现场和人员管理的规定，安全生产，文明施工。</w:t>
      </w:r>
    </w:p>
    <w:p w14:paraId="32B10920">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在施工期间应在适当区域设置安全警示设施，防止发生安全事故。</w:t>
      </w:r>
    </w:p>
    <w:p w14:paraId="2532B181">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在施工期间必须注意环保问题，施工过程不得对周边自然环境产生次生灾害，建筑余料必须清理干净，并堆放到指定地点，严禁随意随地倾倒碴料等。</w:t>
      </w:r>
    </w:p>
    <w:p w14:paraId="0C2EA51B">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必须安全施工，遵守各项施工安全操作规范，若发生任何安全事故，概与</w:t>
      </w:r>
      <w:r>
        <w:rPr>
          <w:rFonts w:hint="eastAsia" w:ascii="宋体" w:hAnsi="宋体" w:eastAsia="宋体" w:cs="宋体"/>
          <w:color w:val="auto"/>
          <w:sz w:val="21"/>
          <w:szCs w:val="21"/>
          <w:lang w:eastAsia="zh-CN"/>
        </w:rPr>
        <w:t>甲方</w:t>
      </w:r>
      <w:r>
        <w:rPr>
          <w:rFonts w:ascii="宋体" w:hAnsi="宋体" w:eastAsia="宋体" w:cs="宋体"/>
          <w:color w:val="auto"/>
          <w:sz w:val="21"/>
          <w:szCs w:val="21"/>
        </w:rPr>
        <w:t>无关，由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自负。</w:t>
      </w:r>
    </w:p>
    <w:p w14:paraId="0AABE265">
      <w:pPr>
        <w:pStyle w:val="130"/>
        <w:adjustRightInd w:val="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必须注意施工安全，做好安全文明施工工作，如因措施不当造成人身安全或工伤死亡事故，一切责任由</w:t>
      </w:r>
      <w:r>
        <w:rPr>
          <w:rFonts w:hint="eastAsia" w:ascii="宋体" w:hAnsi="宋体" w:eastAsia="宋体" w:cs="宋体"/>
          <w:color w:val="auto"/>
          <w:sz w:val="21"/>
          <w:szCs w:val="21"/>
          <w:lang w:eastAsia="zh-CN"/>
        </w:rPr>
        <w:t>乙方</w:t>
      </w:r>
      <w:r>
        <w:rPr>
          <w:rFonts w:ascii="宋体" w:hAnsi="宋体" w:eastAsia="宋体" w:cs="宋体"/>
          <w:color w:val="auto"/>
          <w:sz w:val="21"/>
          <w:szCs w:val="21"/>
        </w:rPr>
        <w:t>负责。</w:t>
      </w:r>
    </w:p>
    <w:p w14:paraId="28E957F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工程完工后及时拆除临时设施，清运垃圾，做好相关工序工作，并积极配合</w:t>
      </w:r>
      <w:r>
        <w:rPr>
          <w:rFonts w:hint="eastAsia" w:ascii="宋体" w:hAnsi="宋体" w:cs="宋体"/>
          <w:color w:val="auto"/>
          <w:szCs w:val="21"/>
          <w:lang w:eastAsia="zh-CN"/>
        </w:rPr>
        <w:t>甲方</w:t>
      </w:r>
      <w:r>
        <w:rPr>
          <w:rFonts w:hint="eastAsia" w:ascii="宋体" w:hAnsi="宋体" w:cs="宋体"/>
          <w:color w:val="auto"/>
          <w:szCs w:val="21"/>
        </w:rPr>
        <w:t>组织验收，做好验收记录，做到工完场清。</w:t>
      </w:r>
    </w:p>
    <w:p w14:paraId="0090CE59">
      <w:pPr>
        <w:pStyle w:val="130"/>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eastAsia="zh-CN"/>
        </w:rPr>
        <w:t>）乙方</w:t>
      </w:r>
      <w:r>
        <w:rPr>
          <w:rFonts w:hint="eastAsia" w:ascii="宋体" w:hAnsi="宋体" w:eastAsia="宋体" w:cs="宋体"/>
          <w:b/>
          <w:bCs/>
          <w:color w:val="auto"/>
          <w:sz w:val="21"/>
          <w:szCs w:val="21"/>
        </w:rPr>
        <w:t>的管理要求</w:t>
      </w:r>
    </w:p>
    <w:p w14:paraId="1A62867E">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有以下行为，经调查属实的，监狱将立即解除合同：</w:t>
      </w:r>
    </w:p>
    <w:p w14:paraId="44D0A4E9">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 弄虚作假，提供虚假材料取得中标供应资格的；</w:t>
      </w:r>
    </w:p>
    <w:p w14:paraId="3ECCBB81">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 项目有转包、分包行为的；</w:t>
      </w:r>
    </w:p>
    <w:p w14:paraId="1465CC7C">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 经营情况发生重大变更，已经不具备承接中标供应项目能力的；</w:t>
      </w:r>
    </w:p>
    <w:p w14:paraId="712A4273">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 无正当理由拒绝履行合同的；</w:t>
      </w:r>
    </w:p>
    <w:p w14:paraId="452CBF06">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 因</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 xml:space="preserve">原因导致狱内发生监管安全事故的； </w:t>
      </w:r>
    </w:p>
    <w:p w14:paraId="482E48EB">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 施工人员为监狱服刑人员私传违禁品、违规品、危险品、信件、口信等违反监狱管理规定的；</w:t>
      </w:r>
    </w:p>
    <w:p w14:paraId="35587A05">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 有其它违法违纪行为的。</w:t>
      </w:r>
    </w:p>
    <w:p w14:paraId="4196F041">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不得转包、分包，否则监狱有权单方面终止合同，项目另行处理，</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承担由此造成的经济损失，履约保证金不退还。</w:t>
      </w:r>
    </w:p>
    <w:p w14:paraId="7D180B0E">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因生产商原因停产、改变生产规格的，</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凭生产商证明告知</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，经市场调查确认，选择替换品种、规格，与</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协商定价后确认更换的品种、规格、价格。</w:t>
      </w:r>
    </w:p>
    <w:p w14:paraId="0437D62C">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和监理单位按合同对项目进行严格验收，对验收不合格的工程应由施工方负责修理更换，其费用由施工方负责。</w:t>
      </w:r>
    </w:p>
    <w:p w14:paraId="2700D6A4">
      <w:pPr>
        <w:pStyle w:val="13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安全文明施工标准：杜绝一般事故等级及以上的伤亡事故且工伤责任事故死亡人数为零。</w:t>
      </w:r>
    </w:p>
    <w:p w14:paraId="31A8C28A">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六、按期竣工</w:t>
      </w:r>
    </w:p>
    <w:p w14:paraId="0789DAEF">
      <w:pPr>
        <w:pStyle w:val="130"/>
        <w:snapToGrid w:val="0"/>
        <w:spacing w:line="360" w:lineRule="auto"/>
        <w:ind w:firstLine="420"/>
        <w:jc w:val="both"/>
        <w:rPr>
          <w:rFonts w:hint="default" w:ascii="宋体" w:hAnsi="宋体" w:eastAsia="宋体" w:cs="宋体"/>
          <w:color w:val="auto"/>
          <w:sz w:val="21"/>
          <w:szCs w:val="21"/>
        </w:rPr>
      </w:pPr>
      <w:r>
        <w:rPr>
          <w:rFonts w:ascii="宋体" w:hAnsi="宋体" w:eastAsia="宋体" w:cs="宋体"/>
          <w:color w:val="auto"/>
          <w:sz w:val="21"/>
          <w:szCs w:val="21"/>
        </w:rPr>
        <w:t>因乙方原因，</w:t>
      </w:r>
      <w:r>
        <w:rPr>
          <w:rFonts w:hint="eastAsia" w:ascii="宋体" w:hAnsi="宋体" w:eastAsia="宋体" w:cs="宋体"/>
          <w:color w:val="auto"/>
          <w:sz w:val="21"/>
          <w:szCs w:val="21"/>
        </w:rPr>
        <w:t>工程没有按期竣工时，</w:t>
      </w:r>
      <w:r>
        <w:rPr>
          <w:rFonts w:ascii="宋体" w:hAnsi="宋体" w:eastAsia="宋体" w:cs="宋体"/>
          <w:color w:val="auto"/>
          <w:sz w:val="21"/>
          <w:szCs w:val="21"/>
        </w:rPr>
        <w:t>乙方</w:t>
      </w:r>
      <w:r>
        <w:rPr>
          <w:rFonts w:hint="eastAsia" w:ascii="宋体" w:hAnsi="宋体" w:eastAsia="宋体" w:cs="宋体"/>
          <w:color w:val="auto"/>
          <w:sz w:val="21"/>
          <w:szCs w:val="21"/>
        </w:rPr>
        <w:t>须在逾期第壹天起每天按合同价款的3‰向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返纳逾期违约金。</w:t>
      </w:r>
    </w:p>
    <w:p w14:paraId="179E3092">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七、验收要求</w:t>
      </w:r>
    </w:p>
    <w:p w14:paraId="5BA061C5">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本项目工程质量严格按现行施工验收规范进行施工和验收。按现行国家建设工程施工技术规范、行业标准规范、施工质量统一验收标准以及设计图纸规范达到合格标准。工程质量要求达到合格以上，工程质量达不到合格的，承包单位必须无条件返工至符合现行施工验收规范的要求。</w:t>
      </w:r>
    </w:p>
    <w:p w14:paraId="76142C64">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工程技术严格按照国家现行有关施工规范、技术标准进行施工和验收。工程所采用的全部材料、配件或成品等需环保安全，符合安全检测标准，质量水平必须达到行业内中档水平，可以高于但不得低于此标准。</w:t>
      </w:r>
    </w:p>
    <w:p w14:paraId="75C6607F">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项目使用的主要材料质量要求不低于现行国家标准，主要材料使用前必须提交样品经</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确认才可正式投入使用。否则造成的损失由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自己承担。</w:t>
      </w:r>
    </w:p>
    <w:p w14:paraId="4E9CEFD7">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施工过程中需要</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确认签字的要提前一个工作日通知</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。若</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未按约定时间到场可以委托监理单位办理进行下一步施工。</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若未能及时通知</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到场确认，因此造成损失由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自行承担。</w:t>
      </w:r>
    </w:p>
    <w:p w14:paraId="74A8281E">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组成验收小组按国家有关规定、规范进行验收，必要时邀请相关的专业人员或机构参与验收。因质量问题发生争议时，由本地质量技术监督部门鉴定，符合质量技术标准的，鉴定费由</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承担，否则鉴定费由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w:t>
      </w:r>
    </w:p>
    <w:p w14:paraId="7AE471ED">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与工程工作联系单（书面形式），需监理单位、</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三方同时确认。</w:t>
      </w:r>
    </w:p>
    <w:p w14:paraId="3771D7C5">
      <w:pPr>
        <w:pStyle w:val="130"/>
        <w:snapToGrid w:val="0"/>
        <w:spacing w:line="360" w:lineRule="auto"/>
        <w:ind w:firstLine="420"/>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项目验收小组由</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、设计单位、监理单位人员组成，完成项目验收后，应填制项目验收书，由验收小组成员在项目验收书上签名。</w:t>
      </w:r>
    </w:p>
    <w:p w14:paraId="2A1BB10F">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八、工程质量保修期</w:t>
      </w:r>
    </w:p>
    <w:p w14:paraId="2DCD3393">
      <w:pPr>
        <w:pStyle w:val="130"/>
        <w:snapToGrid w:val="0"/>
        <w:spacing w:line="360" w:lineRule="auto"/>
        <w:ind w:firstLine="420"/>
        <w:rPr>
          <w:rFonts w:hint="default" w:ascii="宋体" w:hAnsi="宋体" w:eastAsia="宋体" w:cs="宋体"/>
          <w:color w:val="auto"/>
          <w:sz w:val="21"/>
          <w:szCs w:val="21"/>
        </w:rPr>
      </w:pPr>
      <w:r>
        <w:rPr>
          <w:rFonts w:hint="eastAsia" w:ascii="宋体" w:hAnsi="宋体" w:eastAsia="宋体" w:cs="宋体"/>
          <w:color w:val="auto"/>
          <w:sz w:val="21"/>
          <w:szCs w:val="21"/>
        </w:rPr>
        <w:t>项目质保期</w:t>
      </w:r>
      <w:r>
        <w:rPr>
          <w:rFonts w:hint="eastAsia" w:ascii="宋体" w:hAnsi="宋体" w:eastAsia="宋体" w:cs="宋体"/>
          <w:color w:val="auto"/>
          <w:sz w:val="21"/>
          <w:szCs w:val="21"/>
        </w:rPr>
        <w:t>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年，质</w:t>
      </w:r>
      <w:r>
        <w:rPr>
          <w:rFonts w:hint="eastAsia" w:ascii="宋体" w:hAnsi="宋体" w:eastAsia="宋体" w:cs="宋体"/>
          <w:color w:val="auto"/>
          <w:sz w:val="21"/>
          <w:szCs w:val="21"/>
        </w:rPr>
        <w:t>保期从工程竣工验收合格之日算起。质保期内，如因非人为因素出现工程质量问题时，</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在接到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通知24小时内赶到现场并免费负责维修，否则，</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有权聘用其他单位或个人参与维修，维修费用从工程质保金中扣除，不够扣除的，由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补足</w:t>
      </w:r>
      <w:r>
        <w:rPr>
          <w:rFonts w:ascii="宋体" w:hAnsi="宋体" w:eastAsia="宋体" w:cs="宋体"/>
          <w:color w:val="auto"/>
          <w:sz w:val="21"/>
          <w:szCs w:val="21"/>
        </w:rPr>
        <w:t>。</w:t>
      </w:r>
    </w:p>
    <w:p w14:paraId="61A417D5">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b/>
          <w:color w:val="auto"/>
          <w:sz w:val="21"/>
          <w:szCs w:val="21"/>
        </w:rPr>
        <w:t>九、付款方式</w:t>
      </w:r>
    </w:p>
    <w:p w14:paraId="50AEB306">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须在签订合同之日起 5个工作日内向</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提供履约担保金额为合同总价的3%。项目通过竣工验收履约担保金转为工程质量保证金。</w:t>
      </w:r>
    </w:p>
    <w:p w14:paraId="2A50DFDB">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经竣工结算审定完成后，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支付完成至审定结算价全部工程款 ，质量保证金自竣工验收合格之日起12个月后的14天内无息返回</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w:t>
      </w:r>
    </w:p>
    <w:p w14:paraId="086831AD">
      <w:pPr>
        <w:pStyle w:val="13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发生一般事故及以上等级重大安全事故的，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可扣除</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金额相当于所有“绿色施工安全防护措施费”的工程管理费。</w:t>
      </w:r>
    </w:p>
    <w:p w14:paraId="6238ACA4">
      <w:pPr>
        <w:pStyle w:val="130"/>
        <w:snapToGrid w:val="0"/>
        <w:spacing w:line="360" w:lineRule="auto"/>
        <w:ind w:firstLine="420"/>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每次支付工程款前，</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均应提供有效的</w:t>
      </w:r>
      <w:r>
        <w:rPr>
          <w:rFonts w:hint="eastAsia" w:ascii="宋体" w:hAnsi="宋体" w:eastAsia="宋体" w:cs="宋体"/>
          <w:color w:val="auto"/>
          <w:sz w:val="21"/>
          <w:szCs w:val="21"/>
          <w:lang w:eastAsia="zh-CN"/>
        </w:rPr>
        <w:t>增值税专用发票</w:t>
      </w:r>
      <w:r>
        <w:rPr>
          <w:rFonts w:hint="eastAsia" w:ascii="宋体" w:hAnsi="宋体" w:eastAsia="宋体" w:cs="宋体"/>
          <w:color w:val="auto"/>
          <w:sz w:val="21"/>
          <w:szCs w:val="21"/>
        </w:rPr>
        <w:t>。如果</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无法提供符合要求的发票，由此造成的相应损失由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w:t>
      </w:r>
    </w:p>
    <w:p w14:paraId="10B3AD35">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十、违约责任与赔偿损失</w:t>
      </w:r>
    </w:p>
    <w:p w14:paraId="1F01799B">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1.乙方提供的服务不符合本合同规定的，甲方有权拒收，并且乙方须向甲方支付本合同总价5%的违约金。</w:t>
      </w:r>
    </w:p>
    <w:p w14:paraId="328CF94E">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2.乙方未能按本合同规定的交货时间提供服务，从逾期之日起每日按本合同总价3‰的数额向甲方支付违约金;逾期半个月以上的，甲方有权终止合同，由此造成的甲方经济损失由乙方承担。</w:t>
      </w:r>
    </w:p>
    <w:p w14:paraId="3511D794">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3.甲方无正当理由拒收接受服务，到期拒付服务款项的，甲方向乙方偿付本合同总的5%的违约金。甲方人逾期付款，则每日按本合同总价的3‰向乙方偿付违约金。</w:t>
      </w:r>
    </w:p>
    <w:p w14:paraId="1CC1F9E9">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4.对于因甲方原因导致变更、中止或者终止政府采购合同的，甲方应当依照合同约定对供应商受到的损失予以赔偿或者补偿。</w:t>
      </w:r>
    </w:p>
    <w:p w14:paraId="5D131485">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5.任一方违约，违约方需承担守约方追究违约责任产生的律师费、诉讼费、调查取证费用、保函费、保全费等有关费用。</w:t>
      </w:r>
    </w:p>
    <w:p w14:paraId="4205D830">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6.其它违约责任按《中华人民共和国民法典(合同编)》处理。</w:t>
      </w:r>
    </w:p>
    <w:p w14:paraId="2ECFBB6A">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十一、争议的解决</w:t>
      </w:r>
    </w:p>
    <w:p w14:paraId="486537BC">
      <w:pPr>
        <w:pStyle w:val="130"/>
        <w:snapToGrid w:val="0"/>
        <w:spacing w:line="360" w:lineRule="auto"/>
        <w:ind w:firstLine="420"/>
        <w:jc w:val="both"/>
        <w:rPr>
          <w:rFonts w:hint="default" w:ascii="宋体" w:hAnsi="宋体" w:eastAsia="宋体" w:cs="宋体"/>
          <w:color w:val="auto"/>
          <w:sz w:val="21"/>
          <w:szCs w:val="21"/>
        </w:rPr>
      </w:pPr>
      <w:r>
        <w:rPr>
          <w:rFonts w:ascii="宋体" w:hAnsi="宋体" w:eastAsia="宋体" w:cs="宋体"/>
          <w:color w:val="auto"/>
          <w:sz w:val="21"/>
          <w:szCs w:val="21"/>
        </w:rPr>
        <w:t>如双方有争议协商解决不成，由</w:t>
      </w:r>
      <w:r>
        <w:rPr>
          <w:rFonts w:ascii="宋体" w:hAnsi="宋体" w:eastAsia="宋体" w:cs="宋体"/>
          <w:color w:val="auto"/>
          <w:sz w:val="21"/>
          <w:szCs w:val="21"/>
          <w:lang w:eastAsia="zh-CN"/>
        </w:rPr>
        <w:t>项目地</w:t>
      </w:r>
      <w:r>
        <w:rPr>
          <w:rFonts w:ascii="宋体" w:hAnsi="宋体" w:eastAsia="宋体" w:cs="宋体"/>
          <w:color w:val="auto"/>
          <w:sz w:val="21"/>
          <w:szCs w:val="21"/>
        </w:rPr>
        <w:t>人民法院受理解决。</w:t>
      </w:r>
    </w:p>
    <w:p w14:paraId="5A228978">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十二、不可抗力</w:t>
      </w:r>
    </w:p>
    <w:p w14:paraId="18689246">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ABE9940">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十三、税费</w:t>
      </w:r>
    </w:p>
    <w:p w14:paraId="796FE966">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在中国境内、外发生的与本合同执行有关的一切税费均由乙方负担。</w:t>
      </w:r>
    </w:p>
    <w:p w14:paraId="575A0FB1">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十四、其它</w:t>
      </w:r>
    </w:p>
    <w:p w14:paraId="4ED17B9B">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1.本合同所有附件、磋商文件、响应文件、成交通知书均为合同的有效组成部分，与本合同具有同等法律效力。</w:t>
      </w:r>
    </w:p>
    <w:p w14:paraId="22300E2D">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⒉在执行本合同的过程中，所有经双方签署确认的文件（包括会议纪要、补充协议、往来信函）即成为本合同的有效组成部分。</w:t>
      </w:r>
    </w:p>
    <w:p w14:paraId="1FF781DB">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3.如一方地址、电话、传真号码有变更，应在变更当日内书面通知对方，否则，应承担相应责任。</w:t>
      </w:r>
    </w:p>
    <w:p w14:paraId="498A2FD0">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4.除甲方事先书面同意外，乙方不得部分或全部转让其应履行的合同项下的义务。</w:t>
      </w:r>
    </w:p>
    <w:p w14:paraId="57B4708A">
      <w:pPr>
        <w:pStyle w:val="130"/>
        <w:snapToGrid w:val="0"/>
        <w:spacing w:line="360" w:lineRule="auto"/>
        <w:rPr>
          <w:rFonts w:hint="default" w:ascii="宋体" w:hAnsi="宋体" w:eastAsia="宋体" w:cs="宋体"/>
          <w:color w:val="auto"/>
          <w:sz w:val="21"/>
          <w:szCs w:val="21"/>
        </w:rPr>
      </w:pPr>
      <w:r>
        <w:rPr>
          <w:rFonts w:ascii="宋体" w:hAnsi="宋体" w:eastAsia="宋体" w:cs="宋体"/>
          <w:b/>
          <w:color w:val="auto"/>
          <w:sz w:val="21"/>
          <w:szCs w:val="21"/>
        </w:rPr>
        <w:t>十五、合同生效</w:t>
      </w:r>
    </w:p>
    <w:p w14:paraId="3C7F4E7B">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1.本合同在甲乙双方法人代表或其授权代表签字盖章后生效。</w:t>
      </w:r>
    </w:p>
    <w:p w14:paraId="7A4ADE5F">
      <w:pPr>
        <w:pStyle w:val="130"/>
        <w:snapToGrid w:val="0"/>
        <w:spacing w:line="360" w:lineRule="auto"/>
        <w:ind w:firstLine="420"/>
        <w:rPr>
          <w:rFonts w:hint="default" w:ascii="宋体" w:hAnsi="宋体" w:eastAsia="宋体" w:cs="宋体"/>
          <w:color w:val="auto"/>
          <w:sz w:val="21"/>
          <w:szCs w:val="21"/>
        </w:rPr>
      </w:pPr>
      <w:r>
        <w:rPr>
          <w:rFonts w:ascii="宋体" w:hAnsi="宋体" w:eastAsia="宋体" w:cs="宋体"/>
          <w:color w:val="auto"/>
          <w:sz w:val="21"/>
          <w:szCs w:val="21"/>
        </w:rPr>
        <w:t>2.合同一式</w:t>
      </w:r>
      <w:r>
        <w:rPr>
          <w:rFonts w:ascii="宋体" w:hAnsi="宋体" w:eastAsia="宋体" w:cs="宋体"/>
          <w:color w:val="auto"/>
          <w:sz w:val="21"/>
          <w:szCs w:val="21"/>
          <w:u w:val="single"/>
        </w:rPr>
        <w:t xml:space="preserve">     </w:t>
      </w:r>
      <w:r>
        <w:rPr>
          <w:rFonts w:ascii="宋体" w:hAnsi="宋体" w:eastAsia="宋体" w:cs="宋体"/>
          <w:color w:val="auto"/>
          <w:sz w:val="21"/>
          <w:szCs w:val="21"/>
        </w:rPr>
        <w:t>份，甲乙双方各执</w:t>
      </w:r>
      <w:r>
        <w:rPr>
          <w:rFonts w:ascii="宋体" w:hAnsi="宋体" w:eastAsia="宋体" w:cs="宋体"/>
          <w:color w:val="auto"/>
          <w:sz w:val="21"/>
          <w:szCs w:val="21"/>
          <w:u w:val="single"/>
        </w:rPr>
        <w:t xml:space="preserve">    </w:t>
      </w:r>
      <w:r>
        <w:rPr>
          <w:rFonts w:ascii="宋体" w:hAnsi="宋体" w:eastAsia="宋体" w:cs="宋体"/>
          <w:color w:val="auto"/>
          <w:sz w:val="21"/>
          <w:szCs w:val="21"/>
        </w:rPr>
        <w:t>份，代理机构一份。</w:t>
      </w:r>
    </w:p>
    <w:p w14:paraId="45737544">
      <w:pPr>
        <w:pStyle w:val="130"/>
        <w:snapToGrid w:val="0"/>
        <w:spacing w:line="360" w:lineRule="auto"/>
        <w:ind w:firstLine="42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附件：最终报价清单</w:t>
      </w:r>
    </w:p>
    <w:p w14:paraId="7B307627">
      <w:pPr>
        <w:pStyle w:val="130"/>
        <w:snapToGrid w:val="0"/>
        <w:spacing w:line="360" w:lineRule="auto"/>
        <w:ind w:firstLine="420"/>
        <w:jc w:val="both"/>
        <w:rPr>
          <w:rFonts w:ascii="宋体" w:hAnsi="宋体" w:eastAsia="宋体" w:cs="宋体"/>
          <w:color w:val="auto"/>
          <w:sz w:val="21"/>
          <w:szCs w:val="21"/>
        </w:rPr>
      </w:pPr>
    </w:p>
    <w:p w14:paraId="15319262">
      <w:pPr>
        <w:pStyle w:val="130"/>
        <w:snapToGrid w:val="0"/>
        <w:spacing w:line="360" w:lineRule="auto"/>
        <w:ind w:firstLine="420"/>
        <w:jc w:val="both"/>
        <w:rPr>
          <w:rFonts w:hint="default" w:ascii="宋体" w:hAnsi="宋体" w:eastAsia="宋体" w:cs="宋体"/>
          <w:color w:val="auto"/>
          <w:sz w:val="21"/>
          <w:szCs w:val="21"/>
        </w:rPr>
      </w:pPr>
      <w:r>
        <w:rPr>
          <w:rFonts w:ascii="宋体" w:hAnsi="宋体" w:eastAsia="宋体" w:cs="宋体"/>
          <w:color w:val="auto"/>
          <w:sz w:val="21"/>
          <w:szCs w:val="21"/>
        </w:rPr>
        <w:t xml:space="preserve">甲方（公章）:                      </w:t>
      </w:r>
      <w:r>
        <w:rPr>
          <w:rFonts w:ascii="宋体" w:hAnsi="宋体" w:eastAsia="宋体" w:cs="宋体"/>
          <w:color w:val="auto"/>
          <w:sz w:val="21"/>
          <w:szCs w:val="21"/>
          <w:lang w:eastAsia="zh-CN"/>
        </w:rPr>
        <w:t xml:space="preserve"> </w:t>
      </w:r>
      <w:r>
        <w:rPr>
          <w:rFonts w:ascii="宋体" w:hAnsi="宋体" w:eastAsia="宋体" w:cs="宋体"/>
          <w:color w:val="auto"/>
          <w:sz w:val="21"/>
          <w:szCs w:val="21"/>
        </w:rPr>
        <w:t>乙方(公章):</w:t>
      </w:r>
    </w:p>
    <w:p w14:paraId="55A774D5">
      <w:pPr>
        <w:pStyle w:val="130"/>
        <w:snapToGrid w:val="0"/>
        <w:spacing w:line="360" w:lineRule="auto"/>
        <w:ind w:firstLine="420" w:firstLineChars="200"/>
        <w:jc w:val="both"/>
        <w:rPr>
          <w:rFonts w:hint="default" w:ascii="宋体" w:hAnsi="宋体" w:eastAsia="宋体" w:cs="宋体"/>
          <w:color w:val="auto"/>
          <w:sz w:val="21"/>
          <w:szCs w:val="21"/>
        </w:rPr>
      </w:pPr>
      <w:r>
        <w:rPr>
          <w:rFonts w:ascii="宋体" w:hAnsi="宋体" w:eastAsia="宋体" w:cs="宋体"/>
          <w:color w:val="auto"/>
          <w:sz w:val="21"/>
          <w:szCs w:val="21"/>
        </w:rPr>
        <w:t xml:space="preserve">签约代表：                       </w:t>
      </w:r>
      <w:r>
        <w:rPr>
          <w:rFonts w:ascii="宋体" w:hAnsi="宋体" w:eastAsia="宋体" w:cs="宋体"/>
          <w:color w:val="auto"/>
          <w:sz w:val="21"/>
          <w:szCs w:val="21"/>
          <w:lang w:eastAsia="zh-CN"/>
        </w:rPr>
        <w:t xml:space="preserve"> </w:t>
      </w:r>
      <w:r>
        <w:rPr>
          <w:rFonts w:ascii="宋体" w:hAnsi="宋体" w:eastAsia="宋体" w:cs="宋体"/>
          <w:color w:val="auto"/>
          <w:sz w:val="21"/>
          <w:szCs w:val="21"/>
        </w:rPr>
        <w:t xml:space="preserve"> </w:t>
      </w:r>
      <w:r>
        <w:rPr>
          <w:rFonts w:ascii="宋体" w:hAnsi="宋体" w:eastAsia="宋体" w:cs="宋体"/>
          <w:color w:val="auto"/>
          <w:sz w:val="21"/>
          <w:szCs w:val="21"/>
          <w:lang w:eastAsia="zh-CN"/>
        </w:rPr>
        <w:t xml:space="preserve"> </w:t>
      </w:r>
      <w:r>
        <w:rPr>
          <w:rFonts w:ascii="宋体" w:hAnsi="宋体" w:eastAsia="宋体" w:cs="宋体"/>
          <w:color w:val="auto"/>
          <w:sz w:val="21"/>
          <w:szCs w:val="21"/>
        </w:rPr>
        <w:t>签约代表：</w:t>
      </w:r>
    </w:p>
    <w:p w14:paraId="6DCCBE0F">
      <w:pPr>
        <w:pStyle w:val="130"/>
        <w:snapToGrid w:val="0"/>
        <w:spacing w:line="360" w:lineRule="auto"/>
        <w:ind w:firstLine="560"/>
        <w:jc w:val="both"/>
        <w:rPr>
          <w:rFonts w:hint="default" w:ascii="宋体" w:hAnsi="宋体" w:eastAsia="宋体" w:cs="宋体"/>
          <w:color w:val="auto"/>
          <w:sz w:val="21"/>
          <w:szCs w:val="21"/>
        </w:rPr>
      </w:pPr>
      <w:r>
        <w:rPr>
          <w:rFonts w:ascii="宋体" w:hAnsi="宋体" w:eastAsia="宋体" w:cs="宋体"/>
          <w:color w:val="auto"/>
          <w:sz w:val="21"/>
          <w:szCs w:val="21"/>
        </w:rPr>
        <w:t xml:space="preserve">                                   开户行名称：</w:t>
      </w:r>
    </w:p>
    <w:p w14:paraId="064FF679">
      <w:pPr>
        <w:pStyle w:val="130"/>
        <w:snapToGrid w:val="0"/>
        <w:spacing w:line="360" w:lineRule="auto"/>
        <w:ind w:firstLine="560"/>
        <w:jc w:val="both"/>
        <w:rPr>
          <w:rFonts w:hint="default" w:ascii="宋体" w:hAnsi="宋体" w:eastAsia="宋体" w:cs="宋体"/>
          <w:color w:val="auto"/>
          <w:sz w:val="21"/>
          <w:szCs w:val="21"/>
        </w:rPr>
      </w:pPr>
      <w:r>
        <w:rPr>
          <w:rFonts w:ascii="宋体" w:hAnsi="宋体" w:eastAsia="宋体" w:cs="宋体"/>
          <w:color w:val="auto"/>
          <w:sz w:val="21"/>
          <w:szCs w:val="21"/>
        </w:rPr>
        <w:t xml:space="preserve">                                   开户银行：</w:t>
      </w:r>
    </w:p>
    <w:p w14:paraId="58C8719B">
      <w:pPr>
        <w:pStyle w:val="130"/>
        <w:snapToGrid w:val="0"/>
        <w:spacing w:line="360" w:lineRule="auto"/>
        <w:ind w:firstLine="560"/>
        <w:jc w:val="both"/>
        <w:rPr>
          <w:rFonts w:hint="default" w:ascii="宋体" w:hAnsi="宋体" w:eastAsia="宋体" w:cs="宋体"/>
          <w:color w:val="auto"/>
          <w:sz w:val="21"/>
          <w:szCs w:val="21"/>
        </w:rPr>
      </w:pPr>
      <w:r>
        <w:rPr>
          <w:rFonts w:ascii="宋体" w:hAnsi="宋体" w:eastAsia="宋体" w:cs="宋体"/>
          <w:color w:val="auto"/>
          <w:sz w:val="21"/>
          <w:szCs w:val="21"/>
        </w:rPr>
        <w:t xml:space="preserve">                                   账号：</w:t>
      </w:r>
    </w:p>
    <w:p w14:paraId="4FBDDD13">
      <w:pPr>
        <w:pStyle w:val="130"/>
        <w:snapToGrid w:val="0"/>
        <w:spacing w:line="360" w:lineRule="auto"/>
        <w:jc w:val="both"/>
        <w:rPr>
          <w:rFonts w:hint="default" w:ascii="宋体" w:hAnsi="宋体" w:eastAsia="宋体" w:cs="宋体"/>
          <w:color w:val="auto"/>
          <w:sz w:val="21"/>
          <w:szCs w:val="21"/>
        </w:rPr>
      </w:pPr>
      <w:r>
        <w:rPr>
          <w:rFonts w:ascii="宋体" w:hAnsi="宋体" w:eastAsia="宋体" w:cs="宋体"/>
          <w:color w:val="auto"/>
          <w:sz w:val="21"/>
          <w:szCs w:val="21"/>
        </w:rPr>
        <w:t xml:space="preserve">签约地点：  </w:t>
      </w:r>
    </w:p>
    <w:p w14:paraId="5A414EF8">
      <w:pPr>
        <w:snapToGrid w:val="0"/>
        <w:spacing w:line="360" w:lineRule="auto"/>
        <w:jc w:val="left"/>
        <w:rPr>
          <w:rFonts w:ascii="宋体" w:hAnsi="宋体" w:cs="宋体"/>
          <w:color w:val="auto"/>
          <w:szCs w:val="21"/>
        </w:rPr>
      </w:pPr>
      <w:r>
        <w:rPr>
          <w:rFonts w:hint="eastAsia" w:ascii="宋体" w:hAnsi="宋体" w:cs="宋体"/>
          <w:color w:val="auto"/>
          <w:szCs w:val="21"/>
        </w:rPr>
        <w:t>签约时间：    年  月   日</w:t>
      </w:r>
    </w:p>
    <w:p w14:paraId="511AD2EE">
      <w:pPr>
        <w:snapToGrid w:val="0"/>
        <w:spacing w:line="360" w:lineRule="auto"/>
        <w:ind w:firstLine="640" w:firstLineChars="200"/>
        <w:rPr>
          <w:color w:val="auto"/>
          <w:sz w:val="32"/>
          <w:szCs w:val="32"/>
        </w:rPr>
      </w:pPr>
      <w:r>
        <w:rPr>
          <w:rFonts w:hint="eastAsia"/>
          <w:color w:val="auto"/>
          <w:sz w:val="32"/>
          <w:szCs w:val="32"/>
        </w:rPr>
        <w:br w:type="page"/>
      </w:r>
    </w:p>
    <w:p w14:paraId="452B7B5E">
      <w:pPr>
        <w:pStyle w:val="2"/>
        <w:jc w:val="center"/>
        <w:rPr>
          <w:color w:val="auto"/>
          <w:sz w:val="32"/>
          <w:szCs w:val="32"/>
        </w:rPr>
      </w:pPr>
      <w:r>
        <w:rPr>
          <w:rFonts w:hint="eastAsia"/>
          <w:color w:val="auto"/>
          <w:sz w:val="32"/>
          <w:szCs w:val="32"/>
        </w:rPr>
        <w:t>第五章 磋商细则</w:t>
      </w:r>
      <w:bookmarkEnd w:id="58"/>
      <w:bookmarkEnd w:id="59"/>
      <w:bookmarkEnd w:id="60"/>
    </w:p>
    <w:p w14:paraId="65615A84">
      <w:pPr>
        <w:widowControl/>
        <w:spacing w:before="120" w:after="120"/>
        <w:rPr>
          <w:rFonts w:ascii="宋体" w:hAnsi="宋体"/>
          <w:b/>
          <w:bCs/>
          <w:color w:val="auto"/>
          <w:szCs w:val="22"/>
          <w:highlight w:val="white"/>
        </w:rPr>
      </w:pPr>
      <w:bookmarkStart w:id="61" w:name="_Toc231028402"/>
      <w:bookmarkStart w:id="62" w:name="_Toc237684314"/>
      <w:bookmarkStart w:id="63" w:name="_Toc461991236"/>
      <w:bookmarkStart w:id="64" w:name="_Toc238275015"/>
      <w:bookmarkStart w:id="65" w:name="_Toc237683953"/>
      <w:bookmarkStart w:id="66" w:name="_Toc453695704"/>
      <w:bookmarkStart w:id="67" w:name="_Toc238274897"/>
      <w:bookmarkStart w:id="68" w:name="_Toc183338091"/>
      <w:bookmarkStart w:id="69" w:name="_Toc234746291"/>
      <w:bookmarkStart w:id="70" w:name="_Toc338083281"/>
      <w:bookmarkStart w:id="71" w:name="_Toc453695577"/>
      <w:r>
        <w:rPr>
          <w:rFonts w:hint="eastAsia" w:ascii="宋体" w:hAnsi="宋体"/>
          <w:b/>
          <w:bCs/>
          <w:color w:val="auto"/>
          <w:szCs w:val="22"/>
          <w:highlight w:val="white"/>
        </w:rPr>
        <w:t>一、磋商小组组成</w:t>
      </w:r>
    </w:p>
    <w:p w14:paraId="66BD7E79">
      <w:pPr>
        <w:widowControl/>
        <w:spacing w:line="360" w:lineRule="auto"/>
        <w:ind w:left="-61" w:leftChars="-29" w:firstLine="420" w:firstLineChars="200"/>
        <w:rPr>
          <w:rFonts w:ascii="宋体" w:hAnsi="宋体"/>
          <w:color w:val="auto"/>
          <w:szCs w:val="22"/>
          <w:highlight w:val="white"/>
          <w:lang w:val="en-GB"/>
        </w:rPr>
      </w:pPr>
      <w:r>
        <w:rPr>
          <w:rFonts w:hint="eastAsia" w:ascii="宋体" w:hAnsi="宋体"/>
          <w:color w:val="auto"/>
          <w:szCs w:val="22"/>
          <w:highlight w:val="white"/>
        </w:rPr>
        <w:t>磋商小组</w:t>
      </w:r>
      <w:bookmarkStart w:id="72" w:name="_Toc199735924"/>
      <w:r>
        <w:rPr>
          <w:rFonts w:hint="eastAsia" w:ascii="宋体" w:hAnsi="宋体"/>
          <w:color w:val="auto"/>
          <w:szCs w:val="22"/>
          <w:highlight w:val="white"/>
          <w:lang w:val="en-GB"/>
        </w:rPr>
        <w:t>由采购人代表和有关专家共三人以上（达公开招标限额的项目为五人以上）单数组成，其中专家在政府采购专家库中随机抽取，如采购人不派代表参加评审，则</w:t>
      </w:r>
      <w:r>
        <w:rPr>
          <w:rFonts w:hint="eastAsia" w:ascii="宋体" w:hAnsi="宋体"/>
          <w:color w:val="auto"/>
          <w:szCs w:val="22"/>
          <w:highlight w:val="white"/>
        </w:rPr>
        <w:t>磋商小组</w:t>
      </w:r>
      <w:r>
        <w:rPr>
          <w:rFonts w:hint="eastAsia" w:ascii="宋体" w:hAnsi="宋体"/>
          <w:color w:val="auto"/>
          <w:szCs w:val="22"/>
          <w:highlight w:val="white"/>
          <w:lang w:val="en-GB"/>
        </w:rPr>
        <w:t>全部由从政府采购专家库随机抽取的专家组成。</w:t>
      </w:r>
      <w:r>
        <w:rPr>
          <w:rFonts w:hint="eastAsia" w:ascii="宋体" w:hAnsi="宋体"/>
          <w:color w:val="auto"/>
          <w:szCs w:val="22"/>
          <w:highlight w:val="white"/>
        </w:rPr>
        <w:t>磋商小组</w:t>
      </w:r>
      <w:r>
        <w:rPr>
          <w:rFonts w:hint="eastAsia" w:ascii="宋体" w:hAnsi="宋体"/>
          <w:color w:val="auto"/>
          <w:szCs w:val="22"/>
          <w:highlight w:val="white"/>
          <w:lang w:val="en-GB"/>
        </w:rPr>
        <w:t>本着公平、公正、科学、择优的原则，严格按照法律法规和</w:t>
      </w:r>
      <w:r>
        <w:rPr>
          <w:rFonts w:hint="eastAsia" w:ascii="宋体" w:hAnsi="宋体"/>
          <w:color w:val="auto"/>
          <w:szCs w:val="22"/>
          <w:highlight w:val="white"/>
        </w:rPr>
        <w:t>磋商</w:t>
      </w:r>
      <w:r>
        <w:rPr>
          <w:rFonts w:hint="eastAsia" w:ascii="宋体" w:hAnsi="宋体"/>
          <w:color w:val="auto"/>
          <w:szCs w:val="22"/>
          <w:highlight w:val="white"/>
          <w:lang w:val="en-GB"/>
        </w:rPr>
        <w:t>文件的要求推荐评审结果。</w:t>
      </w:r>
      <w:r>
        <w:rPr>
          <w:rFonts w:hint="eastAsia" w:ascii="宋体" w:hAnsi="宋体"/>
          <w:color w:val="auto"/>
          <w:szCs w:val="22"/>
          <w:highlight w:val="white"/>
        </w:rPr>
        <w:t>磋商小组</w:t>
      </w:r>
      <w:r>
        <w:rPr>
          <w:rFonts w:hint="eastAsia" w:ascii="宋体" w:hAnsi="宋体"/>
          <w:color w:val="auto"/>
          <w:szCs w:val="22"/>
          <w:highlight w:val="white"/>
          <w:lang w:val="en-GB"/>
        </w:rPr>
        <w:t>在</w:t>
      </w:r>
      <w:r>
        <w:rPr>
          <w:rFonts w:hint="eastAsia" w:ascii="宋体" w:hAnsi="宋体"/>
          <w:color w:val="auto"/>
          <w:szCs w:val="22"/>
          <w:highlight w:val="white"/>
        </w:rPr>
        <w:t>磋商</w:t>
      </w:r>
      <w:r>
        <w:rPr>
          <w:rFonts w:hint="eastAsia" w:ascii="宋体" w:hAnsi="宋体"/>
          <w:color w:val="auto"/>
          <w:szCs w:val="22"/>
          <w:highlight w:val="white"/>
          <w:lang w:val="en-GB"/>
        </w:rPr>
        <w:t>及评审过程中出现意见不一致时，应遵循少数服从多数原则。</w:t>
      </w:r>
    </w:p>
    <w:p w14:paraId="11553549">
      <w:pPr>
        <w:widowControl/>
        <w:spacing w:line="360" w:lineRule="auto"/>
        <w:ind w:left="-61" w:leftChars="-29" w:firstLine="420" w:firstLineChars="200"/>
        <w:rPr>
          <w:rFonts w:ascii="宋体" w:hAnsi="宋体"/>
          <w:color w:val="auto"/>
          <w:szCs w:val="22"/>
          <w:lang w:val="en-GB"/>
        </w:rPr>
      </w:pPr>
      <w:r>
        <w:rPr>
          <w:rFonts w:hint="eastAsia" w:ascii="宋体" w:hAnsi="宋体"/>
          <w:color w:val="auto"/>
          <w:szCs w:val="22"/>
          <w:highlight w:val="white"/>
        </w:rPr>
        <w:t>磋商小组</w:t>
      </w:r>
      <w:r>
        <w:rPr>
          <w:rFonts w:hint="eastAsia" w:ascii="宋体" w:hAnsi="宋体"/>
          <w:color w:val="auto"/>
          <w:szCs w:val="22"/>
          <w:highlight w:val="white"/>
          <w:lang w:val="en-GB"/>
        </w:rPr>
        <w:t>成员有下列情形之一的，受到邀请应主动提出回避，采购当事人也可以要求该成员回避：</w:t>
      </w:r>
      <w:bookmarkEnd w:id="72"/>
    </w:p>
    <w:p w14:paraId="6AE9E715">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1.</w:t>
      </w:r>
      <w:r>
        <w:rPr>
          <w:rFonts w:hint="eastAsia" w:ascii="宋体" w:hAnsi="宋体"/>
          <w:color w:val="auto"/>
          <w:szCs w:val="22"/>
          <w:highlight w:val="white"/>
        </w:rPr>
        <w:t>本人、配偶或直系亲属3年内曾在参加该采购项目的供应商中任职（包括一般工作）或担任顾问，或与参加该采购项目的供应商发生过法律纠纷；</w:t>
      </w:r>
    </w:p>
    <w:p w14:paraId="76DC9131">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2.</w:t>
      </w:r>
      <w:r>
        <w:rPr>
          <w:rFonts w:hint="eastAsia" w:ascii="宋体" w:hAnsi="宋体"/>
          <w:color w:val="auto"/>
          <w:szCs w:val="22"/>
          <w:highlight w:val="white"/>
        </w:rPr>
        <w:t>任职单位与采购人或参加该采购项目供应商存在行政隶属关系；</w:t>
      </w:r>
    </w:p>
    <w:p w14:paraId="709CE70C">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3.</w:t>
      </w:r>
      <w:r>
        <w:rPr>
          <w:rFonts w:hint="eastAsia" w:ascii="宋体" w:hAnsi="宋体"/>
          <w:color w:val="auto"/>
          <w:szCs w:val="22"/>
          <w:highlight w:val="white"/>
        </w:rPr>
        <w:t>曾经参加过该采购项目的进口产品或磋商文件、采购需求、采购方式的论证和咨询服务工作；</w:t>
      </w:r>
    </w:p>
    <w:p w14:paraId="7784A5BA">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4.</w:t>
      </w:r>
      <w:r>
        <w:rPr>
          <w:rFonts w:hint="eastAsia" w:ascii="宋体" w:hAnsi="宋体"/>
          <w:color w:val="auto"/>
          <w:szCs w:val="22"/>
          <w:highlight w:val="white"/>
        </w:rPr>
        <w:t>是参加该采购项目供应商的上级主管部门、控股或参股单位的工作人员，或与该供应商存在其他经济利益关系；</w:t>
      </w:r>
    </w:p>
    <w:p w14:paraId="5DC71888">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5.</w:t>
      </w:r>
      <w:r>
        <w:rPr>
          <w:rFonts w:hint="eastAsia" w:ascii="宋体" w:hAnsi="宋体"/>
          <w:color w:val="auto"/>
          <w:szCs w:val="22"/>
          <w:highlight w:val="white"/>
        </w:rPr>
        <w:t>磋商小组成员之间具有配偶、近亲属关系；</w:t>
      </w:r>
    </w:p>
    <w:p w14:paraId="527D970D">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6.</w:t>
      </w:r>
      <w:r>
        <w:rPr>
          <w:rFonts w:hint="eastAsia" w:ascii="宋体" w:hAnsi="宋体"/>
          <w:color w:val="auto"/>
          <w:szCs w:val="22"/>
          <w:highlight w:val="white"/>
        </w:rPr>
        <w:t>同一单位的评审专家在同一项目磋商小组成员中超过一名；</w:t>
      </w:r>
    </w:p>
    <w:p w14:paraId="4216B30B">
      <w:pPr>
        <w:widowControl/>
        <w:tabs>
          <w:tab w:val="left" w:pos="0"/>
        </w:tabs>
        <w:spacing w:line="360" w:lineRule="auto"/>
        <w:ind w:left="-61" w:leftChars="-29" w:firstLine="420" w:firstLineChars="200"/>
        <w:rPr>
          <w:rFonts w:ascii="宋体" w:hAnsi="宋体"/>
          <w:color w:val="auto"/>
          <w:szCs w:val="22"/>
          <w:highlight w:val="white"/>
        </w:rPr>
      </w:pPr>
      <w:r>
        <w:rPr>
          <w:rFonts w:hint="eastAsia" w:ascii="宋体" w:hAnsi="宋体"/>
          <w:color w:val="auto"/>
          <w:szCs w:val="22"/>
          <w:highlight w:val="white"/>
        </w:rPr>
        <w:t>7.法律、法规、规章规定应当回避以及其他可能影响公正评审的。</w:t>
      </w:r>
      <w:bookmarkEnd w:id="61"/>
      <w:bookmarkEnd w:id="62"/>
      <w:bookmarkEnd w:id="63"/>
      <w:bookmarkEnd w:id="64"/>
      <w:bookmarkEnd w:id="65"/>
      <w:bookmarkEnd w:id="66"/>
      <w:bookmarkEnd w:id="67"/>
      <w:bookmarkEnd w:id="68"/>
      <w:bookmarkEnd w:id="69"/>
      <w:bookmarkEnd w:id="70"/>
      <w:bookmarkEnd w:id="71"/>
    </w:p>
    <w:p w14:paraId="0C940404">
      <w:pPr>
        <w:spacing w:line="360" w:lineRule="auto"/>
        <w:rPr>
          <w:b/>
          <w:bCs/>
          <w:color w:val="auto"/>
          <w:szCs w:val="21"/>
        </w:rPr>
      </w:pPr>
      <w:bookmarkStart w:id="73" w:name="_Toc411005326"/>
      <w:bookmarkStart w:id="74" w:name="_Toc176844890"/>
      <w:bookmarkStart w:id="75" w:name="_Toc199736956"/>
      <w:bookmarkStart w:id="76" w:name="_Toc401232231"/>
      <w:bookmarkStart w:id="77" w:name="_Toc395083524"/>
      <w:bookmarkStart w:id="78" w:name="_Toc199736010"/>
      <w:bookmarkStart w:id="79" w:name="_Toc199735926"/>
      <w:bookmarkStart w:id="80" w:name="_Toc199815437"/>
      <w:bookmarkStart w:id="81" w:name="_Toc453695580"/>
      <w:bookmarkStart w:id="82" w:name="_Toc338083284"/>
      <w:bookmarkStart w:id="83" w:name="_Toc237683957"/>
      <w:bookmarkStart w:id="84" w:name="_Toc461991239"/>
      <w:bookmarkStart w:id="85" w:name="_Toc453695707"/>
      <w:bookmarkStart w:id="86" w:name="_Toc231028406"/>
      <w:bookmarkStart w:id="87" w:name="_Toc238274901"/>
      <w:bookmarkStart w:id="88" w:name="_Toc234746295"/>
      <w:bookmarkStart w:id="89" w:name="_Toc237684318"/>
      <w:bookmarkStart w:id="90" w:name="_Toc183338095"/>
      <w:bookmarkStart w:id="91" w:name="_Toc238275019"/>
      <w:r>
        <w:rPr>
          <w:rFonts w:hint="eastAsia"/>
          <w:b/>
          <w:bCs/>
          <w:color w:val="auto"/>
          <w:szCs w:val="21"/>
        </w:rPr>
        <w:t>二、</w:t>
      </w:r>
      <w:bookmarkEnd w:id="73"/>
      <w:bookmarkEnd w:id="74"/>
      <w:bookmarkEnd w:id="75"/>
      <w:bookmarkEnd w:id="76"/>
      <w:bookmarkEnd w:id="77"/>
      <w:bookmarkEnd w:id="78"/>
      <w:bookmarkEnd w:id="79"/>
      <w:bookmarkEnd w:id="80"/>
      <w:r>
        <w:rPr>
          <w:rFonts w:hint="eastAsia"/>
          <w:b/>
          <w:bCs/>
          <w:color w:val="auto"/>
          <w:szCs w:val="21"/>
          <w:highlight w:val="white"/>
        </w:rPr>
        <w:t>磋商</w:t>
      </w:r>
      <w:r>
        <w:rPr>
          <w:rFonts w:hint="eastAsia"/>
          <w:b/>
          <w:bCs/>
          <w:color w:val="auto"/>
          <w:szCs w:val="21"/>
        </w:rPr>
        <w:t>流程</w:t>
      </w:r>
    </w:p>
    <w:p w14:paraId="767A9D3E">
      <w:pPr>
        <w:widowControl/>
        <w:tabs>
          <w:tab w:val="left" w:pos="0"/>
          <w:tab w:val="left" w:pos="840"/>
        </w:tabs>
        <w:spacing w:before="120" w:after="120"/>
        <w:rPr>
          <w:color w:val="auto"/>
          <w:szCs w:val="21"/>
          <w:highlight w:val="white"/>
        </w:rPr>
      </w:pPr>
      <w:bookmarkStart w:id="92" w:name="_Hlt36943663"/>
      <w:bookmarkEnd w:id="92"/>
      <w:r>
        <w:rPr>
          <w:rFonts w:hint="eastAsia"/>
          <w:color w:val="auto"/>
          <w:szCs w:val="21"/>
          <w:highlight w:val="white"/>
        </w:rPr>
        <w:t>（一）</w:t>
      </w:r>
      <w:r>
        <w:rPr>
          <w:color w:val="auto"/>
          <w:szCs w:val="21"/>
          <w:highlight w:val="white"/>
        </w:rPr>
        <w:t>接收报价文件</w:t>
      </w:r>
    </w:p>
    <w:p w14:paraId="1D17A922">
      <w:pPr>
        <w:spacing w:line="360" w:lineRule="auto"/>
        <w:ind w:firstLine="539"/>
        <w:rPr>
          <w:rFonts w:ascii="宋体" w:hAnsi="宋体"/>
          <w:color w:val="auto"/>
        </w:rPr>
      </w:pPr>
      <w:r>
        <w:rPr>
          <w:rFonts w:hint="eastAsia" w:ascii="宋体" w:hAnsi="宋体"/>
          <w:color w:val="auto"/>
        </w:rPr>
        <w:t>采购代理机构按《磋商文件》规定的时间和地点接收报价文件和组织磋商会。响应供应商派出法定代表人或其授权代表人参加并签到；对于首次报价，采购代理机构将公开唱出，由响应供应商法定代表人或其授权代表人签名确认。采购代理机构负责做好有关记录。响应供应商不派出其授权代表参加开标会的，视为完全同意开标内容及对开标会过程无异议。</w:t>
      </w:r>
    </w:p>
    <w:p w14:paraId="6F6E953F">
      <w:pPr>
        <w:widowControl/>
        <w:tabs>
          <w:tab w:val="left" w:pos="0"/>
          <w:tab w:val="left" w:pos="840"/>
        </w:tabs>
        <w:spacing w:before="120" w:after="120"/>
        <w:rPr>
          <w:color w:val="auto"/>
          <w:szCs w:val="21"/>
          <w:highlight w:val="white"/>
        </w:rPr>
      </w:pPr>
      <w:r>
        <w:rPr>
          <w:rFonts w:hint="eastAsia"/>
          <w:color w:val="auto"/>
          <w:szCs w:val="21"/>
          <w:highlight w:val="white"/>
        </w:rPr>
        <w:t>（二）磋商</w:t>
      </w:r>
    </w:p>
    <w:bookmarkEnd w:id="81"/>
    <w:bookmarkEnd w:id="82"/>
    <w:bookmarkEnd w:id="83"/>
    <w:bookmarkEnd w:id="84"/>
    <w:bookmarkEnd w:id="85"/>
    <w:bookmarkEnd w:id="86"/>
    <w:bookmarkEnd w:id="87"/>
    <w:bookmarkEnd w:id="88"/>
    <w:bookmarkEnd w:id="89"/>
    <w:bookmarkEnd w:id="90"/>
    <w:bookmarkEnd w:id="91"/>
    <w:p w14:paraId="3BF403D1">
      <w:pPr>
        <w:spacing w:line="360" w:lineRule="auto"/>
        <w:ind w:left="210" w:leftChars="100"/>
        <w:rPr>
          <w:rFonts w:ascii="宋体" w:hAnsi="宋体"/>
          <w:color w:val="auto"/>
          <w:szCs w:val="22"/>
        </w:rPr>
      </w:pPr>
      <w:bookmarkStart w:id="93" w:name="_Toc234746302"/>
      <w:bookmarkStart w:id="94" w:name="_Toc231028413"/>
      <w:bookmarkStart w:id="95" w:name="_Toc461991246"/>
      <w:bookmarkStart w:id="96" w:name="_Toc453695587"/>
      <w:bookmarkStart w:id="97" w:name="_Toc338083291"/>
      <w:bookmarkStart w:id="98" w:name="_Toc183338102"/>
      <w:bookmarkStart w:id="99" w:name="_Toc237684325"/>
      <w:bookmarkStart w:id="100" w:name="_Toc238275026"/>
      <w:bookmarkStart w:id="101" w:name="_Toc453695714"/>
      <w:bookmarkStart w:id="102" w:name="_Toc238274908"/>
      <w:bookmarkStart w:id="103" w:name="_Toc237683964"/>
      <w:r>
        <w:rPr>
          <w:rFonts w:hint="eastAsia" w:ascii="宋体" w:hAnsi="宋体"/>
          <w:color w:val="auto"/>
        </w:rPr>
        <w:t>（1）磋商小组首先对响应供应商进行初审，初审内容包括资格性、符合性</w:t>
      </w:r>
      <w:r>
        <w:rPr>
          <w:rFonts w:hint="eastAsia" w:ascii="宋体" w:hAnsi="宋体"/>
          <w:color w:val="auto"/>
          <w:szCs w:val="22"/>
        </w:rPr>
        <w:t>审查（内容详见附表1），</w:t>
      </w:r>
      <w:r>
        <w:rPr>
          <w:rFonts w:hint="eastAsia" w:ascii="宋体" w:hAnsi="宋体"/>
          <w:color w:val="auto"/>
          <w:szCs w:val="22"/>
          <w:highlight w:val="white"/>
        </w:rPr>
        <w:t>出现不符合</w:t>
      </w:r>
      <w:r>
        <w:rPr>
          <w:rFonts w:hint="eastAsia" w:ascii="宋体" w:hAnsi="宋体"/>
          <w:color w:val="auto"/>
          <w:szCs w:val="22"/>
        </w:rPr>
        <w:t>资格性、符合性初审表</w:t>
      </w:r>
      <w:r>
        <w:rPr>
          <w:rFonts w:hint="eastAsia" w:ascii="宋体" w:hAnsi="宋体"/>
          <w:color w:val="auto"/>
          <w:szCs w:val="22"/>
          <w:highlight w:val="white"/>
        </w:rPr>
        <w:t>所列情形之一时，不得参与磋商，磋商小组</w:t>
      </w:r>
      <w:r>
        <w:rPr>
          <w:rFonts w:hint="eastAsia" w:ascii="宋体" w:hAnsi="宋体"/>
          <w:color w:val="auto"/>
          <w:szCs w:val="22"/>
        </w:rPr>
        <w:t>将告知供应商并</w:t>
      </w:r>
      <w:r>
        <w:rPr>
          <w:rFonts w:hint="eastAsia" w:ascii="宋体" w:hAnsi="宋体"/>
          <w:color w:val="auto"/>
          <w:szCs w:val="22"/>
          <w:highlight w:val="white"/>
        </w:rPr>
        <w:t>说明理由</w:t>
      </w:r>
      <w:r>
        <w:rPr>
          <w:rFonts w:hint="eastAsia" w:ascii="宋体" w:hAnsi="宋体"/>
          <w:color w:val="auto"/>
          <w:szCs w:val="22"/>
        </w:rPr>
        <w:t>。</w:t>
      </w:r>
    </w:p>
    <w:p w14:paraId="26F67DE7">
      <w:pPr>
        <w:spacing w:line="360" w:lineRule="auto"/>
        <w:ind w:left="210" w:leftChars="100"/>
        <w:rPr>
          <w:rFonts w:ascii="宋体" w:hAnsi="宋体"/>
          <w:color w:val="auto"/>
        </w:rPr>
      </w:pPr>
      <w:r>
        <w:rPr>
          <w:rFonts w:hint="eastAsia" w:ascii="宋体" w:hAnsi="宋体"/>
          <w:color w:val="auto"/>
          <w:szCs w:val="22"/>
        </w:rPr>
        <w:t>（2）磋商小组与通过初审的每一响应供应商分别进行磋商，响应供应商派出法定代表人或其授权代表</w:t>
      </w:r>
      <w:r>
        <w:rPr>
          <w:rFonts w:hint="eastAsia" w:ascii="宋体" w:hAnsi="宋体"/>
          <w:color w:val="auto"/>
        </w:rPr>
        <w:t>参加，如不参加，视为报价及磋商承诺按报价文件内容不变。</w:t>
      </w:r>
    </w:p>
    <w:p w14:paraId="4103D9C4">
      <w:pPr>
        <w:spacing w:line="360" w:lineRule="auto"/>
        <w:ind w:left="210" w:leftChars="100"/>
        <w:rPr>
          <w:rFonts w:ascii="宋体" w:hAnsi="宋体"/>
          <w:color w:val="auto"/>
          <w:szCs w:val="22"/>
        </w:rPr>
      </w:pPr>
      <w:r>
        <w:rPr>
          <w:rFonts w:hint="eastAsia" w:ascii="宋体" w:hAnsi="宋体"/>
          <w:color w:val="auto"/>
          <w:szCs w:val="22"/>
        </w:rPr>
        <w:t>（3）磋商小组与响应供应商进行磋商后</w:t>
      </w:r>
      <w:r>
        <w:rPr>
          <w:rFonts w:hint="eastAsia" w:ascii="宋体" w:hAnsi="宋体"/>
          <w:color w:val="auto"/>
          <w:szCs w:val="22"/>
          <w:highlight w:val="white"/>
        </w:rPr>
        <w:t>形成《磋商承诺》。《磋商承诺》是报价文件的有效组成部分。</w:t>
      </w:r>
    </w:p>
    <w:p w14:paraId="68E567A3">
      <w:pPr>
        <w:spacing w:line="360" w:lineRule="auto"/>
        <w:ind w:left="210" w:leftChars="100"/>
        <w:rPr>
          <w:rFonts w:ascii="宋体" w:hAnsi="宋体"/>
          <w:color w:val="auto"/>
          <w:szCs w:val="22"/>
        </w:rPr>
      </w:pPr>
      <w:r>
        <w:rPr>
          <w:rFonts w:hint="eastAsia" w:ascii="宋体" w:hAnsi="宋体"/>
          <w:color w:val="auto"/>
          <w:szCs w:val="22"/>
        </w:rPr>
        <w:t>（4）磋商小组可以根据磋商文件和磋商情况实质性变动采购需求中的技术、服务要求以及合同草案条款，但不得变动磋商文件中的其他内容。磋商文件的变动内容须经采购人代表确认，并记载在《磋商纪要》中以通知所有磋商供应商。</w:t>
      </w:r>
    </w:p>
    <w:p w14:paraId="537953A0">
      <w:pPr>
        <w:spacing w:line="360" w:lineRule="auto"/>
        <w:ind w:left="210" w:leftChars="100"/>
        <w:rPr>
          <w:rFonts w:ascii="宋体" w:hAnsi="宋体"/>
          <w:color w:val="auto"/>
          <w:szCs w:val="22"/>
        </w:rPr>
      </w:pPr>
      <w:r>
        <w:rPr>
          <w:rFonts w:hint="eastAsia" w:ascii="宋体" w:hAnsi="宋体"/>
          <w:color w:val="auto"/>
          <w:szCs w:val="22"/>
        </w:rPr>
        <w:t>（5）如磋商小组没有对磋商文件作实质性变动增加新的需求，最后报价不得高于首次报价。</w:t>
      </w:r>
    </w:p>
    <w:p w14:paraId="04F4464C">
      <w:pPr>
        <w:spacing w:line="360" w:lineRule="auto"/>
        <w:ind w:left="210" w:leftChars="100"/>
        <w:rPr>
          <w:rFonts w:ascii="宋体" w:hAnsi="宋体"/>
          <w:color w:val="auto"/>
        </w:rPr>
      </w:pPr>
      <w:r>
        <w:rPr>
          <w:rFonts w:hint="eastAsia" w:ascii="宋体" w:hAnsi="宋体"/>
          <w:color w:val="auto"/>
        </w:rPr>
        <w:t>（6）在磋商中，磋商的任何一方，不得透露与磋商有关的其他响应供应商的技术资料、价格和其他信息；</w:t>
      </w:r>
    </w:p>
    <w:p w14:paraId="0F6688C3">
      <w:pPr>
        <w:spacing w:line="360" w:lineRule="auto"/>
        <w:ind w:left="210" w:leftChars="100"/>
        <w:rPr>
          <w:color w:val="auto"/>
        </w:rPr>
      </w:pPr>
      <w:r>
        <w:rPr>
          <w:rFonts w:hint="eastAsia" w:ascii="宋体" w:hAnsi="宋体"/>
          <w:color w:val="auto"/>
        </w:rPr>
        <w:t>（7）磋商小组要求响应供应商在规定的时间内进行最终报价。除非响应供应商另有说明，最终报价总价与第一次报价总价下浮的比例，其报价明细项按相同比例下浮。</w:t>
      </w:r>
    </w:p>
    <w:p w14:paraId="239E94D6">
      <w:pPr>
        <w:spacing w:line="360" w:lineRule="auto"/>
        <w:ind w:left="210" w:leftChars="100"/>
        <w:rPr>
          <w:rFonts w:ascii="宋体" w:hAnsi="宋体"/>
          <w:color w:val="auto"/>
          <w:szCs w:val="22"/>
        </w:rPr>
      </w:pPr>
      <w:r>
        <w:rPr>
          <w:rFonts w:hint="eastAsia" w:ascii="宋体" w:hAnsi="宋体"/>
          <w:color w:val="auto"/>
          <w:szCs w:val="22"/>
        </w:rPr>
        <w:t>（8）没有在规定时间内提交最后报价视为报价及磋商承诺按报价文件内容不变。</w:t>
      </w:r>
    </w:p>
    <w:p w14:paraId="6C8790DA">
      <w:pPr>
        <w:tabs>
          <w:tab w:val="left" w:pos="720"/>
        </w:tabs>
        <w:spacing w:line="360" w:lineRule="auto"/>
        <w:ind w:left="210" w:leftChars="100"/>
        <w:rPr>
          <w:rFonts w:ascii="宋体" w:hAnsi="宋体"/>
          <w:color w:val="auto"/>
        </w:rPr>
      </w:pPr>
      <w:r>
        <w:rPr>
          <w:rFonts w:hint="eastAsia" w:ascii="宋体" w:hAnsi="宋体"/>
          <w:color w:val="auto"/>
        </w:rPr>
        <w:t>（9）磋商完成后，磋商小组将进入评审流程。</w:t>
      </w:r>
    </w:p>
    <w:p w14:paraId="6C6AFEDE">
      <w:pPr>
        <w:tabs>
          <w:tab w:val="left" w:pos="1050"/>
          <w:tab w:val="left" w:pos="1155"/>
        </w:tabs>
        <w:snapToGrid w:val="0"/>
        <w:spacing w:line="360" w:lineRule="auto"/>
        <w:ind w:right="678" w:rightChars="323" w:firstLine="422" w:firstLineChars="200"/>
        <w:rPr>
          <w:rFonts w:ascii="宋体" w:hAnsi="宋体"/>
          <w:b/>
          <w:bCs/>
          <w:color w:val="auto"/>
          <w:szCs w:val="21"/>
        </w:rPr>
      </w:pPr>
      <w:r>
        <w:rPr>
          <w:rFonts w:hint="eastAsia" w:ascii="宋体" w:hAnsi="宋体"/>
          <w:b/>
          <w:bCs/>
          <w:color w:val="auto"/>
          <w:szCs w:val="21"/>
        </w:rPr>
        <w:t>磋商过程中出现下列情况之一时，本项目作废标处理：</w:t>
      </w:r>
    </w:p>
    <w:p w14:paraId="1873EB95">
      <w:pPr>
        <w:spacing w:line="360" w:lineRule="auto"/>
        <w:ind w:left="210" w:leftChars="100"/>
        <w:rPr>
          <w:rFonts w:ascii="宋体" w:hAnsi="宋体"/>
          <w:color w:val="auto"/>
          <w:szCs w:val="22"/>
        </w:rPr>
      </w:pPr>
      <w:r>
        <w:rPr>
          <w:rFonts w:hint="eastAsia" w:ascii="宋体" w:hAnsi="宋体"/>
          <w:color w:val="auto"/>
          <w:szCs w:val="22"/>
        </w:rPr>
        <w:t>1）符合专业条件的供应商或者对磋商文件作实质响应的供应商不足三家的；</w:t>
      </w:r>
    </w:p>
    <w:p w14:paraId="31177A8D">
      <w:pPr>
        <w:spacing w:line="360" w:lineRule="auto"/>
        <w:ind w:left="210" w:leftChars="100"/>
        <w:rPr>
          <w:rFonts w:ascii="宋体" w:hAnsi="宋体"/>
          <w:color w:val="auto"/>
          <w:szCs w:val="22"/>
        </w:rPr>
      </w:pPr>
      <w:r>
        <w:rPr>
          <w:rFonts w:hint="eastAsia" w:ascii="宋体" w:hAnsi="宋体"/>
          <w:color w:val="auto"/>
          <w:szCs w:val="22"/>
        </w:rPr>
        <w:t>（注：1、关于多个供应商提供相同品牌产品参加同一合同项下投标的，按《政府采购货物和服务招标投标管理办法（中华人民共和国财政部令第87号令）》处理。2、经政府采购监管部门批复同意不足三家报价继续进行采购程序的情况除外。3、按照财库〔2015〕124号“财政部关于政府采购竞争性磋商采购方式管理暂行办法有关问题的补充通知”，采用竞争性磋商采购方式采购的政府购买服务项目，在采购过程中符合要求的供应商只有2家的，竞争性磋商采购活动可以继续进行。）</w:t>
      </w:r>
    </w:p>
    <w:p w14:paraId="4478B9FC">
      <w:pPr>
        <w:spacing w:line="360" w:lineRule="auto"/>
        <w:ind w:left="210" w:leftChars="100"/>
        <w:rPr>
          <w:rFonts w:ascii="宋体" w:hAnsi="宋体"/>
          <w:color w:val="auto"/>
          <w:szCs w:val="22"/>
        </w:rPr>
      </w:pPr>
      <w:r>
        <w:rPr>
          <w:rFonts w:hint="eastAsia" w:ascii="宋体" w:hAnsi="宋体"/>
          <w:color w:val="auto"/>
          <w:szCs w:val="22"/>
        </w:rPr>
        <w:t>2）响应供应商的报价均超过了采购预算，采购人不能支付的；</w:t>
      </w:r>
    </w:p>
    <w:p w14:paraId="209341A4">
      <w:pPr>
        <w:spacing w:line="360" w:lineRule="auto"/>
        <w:ind w:left="210" w:leftChars="100"/>
        <w:rPr>
          <w:rFonts w:ascii="宋体" w:hAnsi="宋体"/>
          <w:color w:val="auto"/>
          <w:szCs w:val="22"/>
        </w:rPr>
      </w:pPr>
      <w:r>
        <w:rPr>
          <w:rFonts w:hint="eastAsia" w:ascii="宋体" w:hAnsi="宋体"/>
          <w:color w:val="auto"/>
          <w:szCs w:val="22"/>
        </w:rPr>
        <w:t>3）因重大变故，采购任务取消的。</w:t>
      </w:r>
    </w:p>
    <w:p w14:paraId="4E24B9BB">
      <w:pPr>
        <w:widowControl/>
        <w:spacing w:before="120" w:after="120" w:line="360" w:lineRule="auto"/>
        <w:rPr>
          <w:rFonts w:ascii="宋体" w:hAnsi="宋体"/>
          <w:b/>
          <w:bCs/>
          <w:color w:val="auto"/>
          <w:szCs w:val="22"/>
          <w:highlight w:val="white"/>
        </w:rPr>
      </w:pPr>
      <w:r>
        <w:rPr>
          <w:rFonts w:hint="eastAsia" w:ascii="宋体" w:hAnsi="宋体"/>
          <w:b/>
          <w:bCs/>
          <w:color w:val="auto"/>
          <w:szCs w:val="22"/>
          <w:highlight w:val="white"/>
        </w:rPr>
        <w:t>三、评审流程</w:t>
      </w:r>
    </w:p>
    <w:p w14:paraId="2C97301A">
      <w:pPr>
        <w:spacing w:line="360" w:lineRule="auto"/>
        <w:rPr>
          <w:rFonts w:ascii="宋体" w:hAnsi="宋体"/>
          <w:color w:val="auto"/>
          <w:szCs w:val="22"/>
        </w:rPr>
      </w:pPr>
      <w:bookmarkStart w:id="104" w:name="_Toc401231934"/>
      <w:bookmarkStart w:id="105" w:name="_Toc411005323"/>
      <w:bookmarkStart w:id="106" w:name="_Toc351989409"/>
      <w:bookmarkStart w:id="107" w:name="_Toc401231876"/>
      <w:r>
        <w:rPr>
          <w:rFonts w:hint="eastAsia" w:ascii="宋体" w:hAnsi="宋体"/>
          <w:color w:val="auto"/>
          <w:szCs w:val="22"/>
        </w:rPr>
        <w:t>（一）</w:t>
      </w:r>
      <w:bookmarkEnd w:id="104"/>
      <w:bookmarkEnd w:id="105"/>
      <w:bookmarkEnd w:id="106"/>
      <w:bookmarkEnd w:id="107"/>
      <w:r>
        <w:rPr>
          <w:rFonts w:hint="eastAsia" w:ascii="宋体" w:hAnsi="宋体"/>
          <w:color w:val="auto"/>
          <w:szCs w:val="22"/>
          <w:highlight w:val="white"/>
        </w:rPr>
        <w:t>评审形式</w:t>
      </w:r>
    </w:p>
    <w:p w14:paraId="5D83A7F4">
      <w:pPr>
        <w:spacing w:line="360" w:lineRule="auto"/>
        <w:ind w:firstLine="630" w:firstLineChars="300"/>
        <w:rPr>
          <w:rFonts w:ascii="宋体" w:hAnsi="宋体"/>
          <w:color w:val="auto"/>
          <w:szCs w:val="22"/>
        </w:rPr>
      </w:pPr>
      <w:r>
        <w:rPr>
          <w:rFonts w:hint="eastAsia" w:ascii="宋体" w:hAnsi="宋体"/>
          <w:color w:val="auto"/>
          <w:szCs w:val="22"/>
          <w:highlight w:val="white"/>
          <w:lang w:val="zh-CN"/>
        </w:rPr>
        <w:t>本次</w:t>
      </w:r>
      <w:r>
        <w:rPr>
          <w:rFonts w:hint="eastAsia" w:ascii="宋体" w:hAnsi="宋体"/>
          <w:color w:val="auto"/>
          <w:szCs w:val="22"/>
          <w:highlight w:val="white"/>
        </w:rPr>
        <w:t>磋商</w:t>
      </w:r>
      <w:r>
        <w:rPr>
          <w:rFonts w:hint="eastAsia" w:ascii="宋体" w:hAnsi="宋体"/>
          <w:color w:val="auto"/>
          <w:szCs w:val="22"/>
          <w:highlight w:val="white"/>
          <w:lang w:val="zh-CN"/>
        </w:rPr>
        <w:t>采用一</w:t>
      </w:r>
      <w:r>
        <w:rPr>
          <w:rFonts w:hint="eastAsia" w:ascii="宋体" w:hAnsi="宋体"/>
          <w:color w:val="auto"/>
          <w:szCs w:val="22"/>
        </w:rPr>
        <w:t>次评审</w:t>
      </w:r>
      <w:r>
        <w:rPr>
          <w:rFonts w:hint="eastAsia" w:ascii="宋体" w:hAnsi="宋体"/>
          <w:color w:val="auto"/>
          <w:szCs w:val="22"/>
          <w:highlight w:val="white"/>
          <w:lang w:val="zh-CN"/>
        </w:rPr>
        <w:t>，两</w:t>
      </w:r>
      <w:r>
        <w:rPr>
          <w:rFonts w:hint="eastAsia" w:ascii="宋体" w:hAnsi="宋体"/>
          <w:color w:val="auto"/>
          <w:szCs w:val="22"/>
        </w:rPr>
        <w:t>轮或多轮磋商</w:t>
      </w:r>
      <w:r>
        <w:rPr>
          <w:rFonts w:hint="eastAsia" w:ascii="宋体" w:hAnsi="宋体"/>
          <w:color w:val="auto"/>
          <w:szCs w:val="22"/>
          <w:highlight w:val="white"/>
          <w:lang w:val="zh-CN"/>
        </w:rPr>
        <w:t>报价形式进行。</w:t>
      </w:r>
      <w:r>
        <w:rPr>
          <w:rFonts w:ascii="宋体" w:hAnsi="宋体" w:cs="JEIUCH+ËÎÌå"/>
          <w:color w:val="auto"/>
          <w:szCs w:val="21"/>
        </w:rPr>
        <w:t>经磋商确定最终采购需求和提交最后报价的供应商后，由磋商小组采用综合评分法对提交最后报价的供应商的响应文件和最后报价进行综合评分。</w:t>
      </w:r>
    </w:p>
    <w:p w14:paraId="2C9C6446">
      <w:pPr>
        <w:spacing w:line="360" w:lineRule="auto"/>
        <w:rPr>
          <w:rFonts w:ascii="宋体" w:hAnsi="宋体"/>
          <w:color w:val="auto"/>
          <w:szCs w:val="22"/>
          <w:lang w:val="zh-CN"/>
        </w:rPr>
      </w:pPr>
      <w:r>
        <w:rPr>
          <w:rFonts w:hint="eastAsia" w:ascii="宋体" w:hAnsi="宋体"/>
          <w:color w:val="auto"/>
          <w:szCs w:val="22"/>
          <w:lang w:val="zh-CN"/>
        </w:rPr>
        <w:t>（</w:t>
      </w:r>
      <w:r>
        <w:rPr>
          <w:rFonts w:hint="eastAsia" w:ascii="宋体" w:hAnsi="宋体"/>
          <w:color w:val="auto"/>
          <w:szCs w:val="22"/>
        </w:rPr>
        <w:t>二</w:t>
      </w:r>
      <w:r>
        <w:rPr>
          <w:rFonts w:hint="eastAsia" w:ascii="宋体" w:hAnsi="宋体"/>
          <w:color w:val="auto"/>
          <w:szCs w:val="22"/>
          <w:lang w:val="zh-CN"/>
        </w:rPr>
        <w:t>）</w:t>
      </w:r>
      <w:r>
        <w:rPr>
          <w:rFonts w:hint="eastAsia" w:ascii="宋体" w:hAnsi="宋体"/>
          <w:color w:val="auto"/>
          <w:szCs w:val="22"/>
        </w:rPr>
        <w:t>报价</w:t>
      </w:r>
      <w:r>
        <w:rPr>
          <w:rFonts w:hint="eastAsia" w:ascii="宋体" w:hAnsi="宋体"/>
          <w:color w:val="auto"/>
          <w:szCs w:val="22"/>
          <w:highlight w:val="white"/>
          <w:lang w:val="zh-CN"/>
        </w:rPr>
        <w:t>文件差异修正准则</w:t>
      </w:r>
    </w:p>
    <w:p w14:paraId="5C7597FA">
      <w:pPr>
        <w:tabs>
          <w:tab w:val="left" w:pos="0"/>
        </w:tabs>
        <w:spacing w:line="360" w:lineRule="auto"/>
        <w:ind w:firstLine="630" w:firstLineChars="300"/>
        <w:rPr>
          <w:color w:val="auto"/>
          <w:szCs w:val="21"/>
        </w:rPr>
      </w:pPr>
      <w:r>
        <w:rPr>
          <w:color w:val="auto"/>
          <w:szCs w:val="21"/>
          <w:highlight w:val="white"/>
        </w:rPr>
        <w:t>报价文件出现差异时，修正原则及优先修正顺序如下：</w:t>
      </w:r>
    </w:p>
    <w:p w14:paraId="451C14AA">
      <w:pPr>
        <w:tabs>
          <w:tab w:val="left" w:pos="0"/>
        </w:tabs>
        <w:spacing w:line="360" w:lineRule="auto"/>
        <w:ind w:firstLine="630" w:firstLineChars="300"/>
        <w:rPr>
          <w:color w:val="auto"/>
          <w:szCs w:val="21"/>
        </w:rPr>
      </w:pPr>
      <w:r>
        <w:rPr>
          <w:rFonts w:hint="eastAsia" w:ascii="宋体" w:hAnsi="宋体"/>
          <w:color w:val="auto"/>
          <w:szCs w:val="22"/>
        </w:rPr>
        <w:t>1.开标</w:t>
      </w:r>
      <w:r>
        <w:rPr>
          <w:color w:val="auto"/>
          <w:szCs w:val="21"/>
          <w:highlight w:val="white"/>
        </w:rPr>
        <w:t>内容与</w:t>
      </w:r>
      <w:r>
        <w:rPr>
          <w:rFonts w:hint="eastAsia"/>
          <w:color w:val="auto"/>
          <w:szCs w:val="21"/>
          <w:highlight w:val="white"/>
        </w:rPr>
        <w:t>报价</w:t>
      </w:r>
      <w:r>
        <w:rPr>
          <w:color w:val="auto"/>
          <w:szCs w:val="21"/>
          <w:highlight w:val="white"/>
        </w:rPr>
        <w:t>文件对应内容不一致的，均以开标内容为准；</w:t>
      </w:r>
    </w:p>
    <w:p w14:paraId="51433F4B">
      <w:pPr>
        <w:tabs>
          <w:tab w:val="left" w:pos="0"/>
        </w:tabs>
        <w:spacing w:line="360" w:lineRule="auto"/>
        <w:ind w:firstLine="630" w:firstLineChars="300"/>
        <w:rPr>
          <w:color w:val="auto"/>
          <w:szCs w:val="21"/>
        </w:rPr>
      </w:pPr>
      <w:r>
        <w:rPr>
          <w:rFonts w:hint="eastAsia" w:ascii="宋体" w:hAnsi="宋体"/>
          <w:color w:val="auto"/>
          <w:szCs w:val="22"/>
        </w:rPr>
        <w:t>2.</w:t>
      </w:r>
      <w:r>
        <w:rPr>
          <w:color w:val="auto"/>
          <w:szCs w:val="21"/>
          <w:highlight w:val="white"/>
        </w:rPr>
        <w:t>开标一览表与分项明细表或其它相关报价表报价不一致的，均以开标一览表为准；</w:t>
      </w:r>
    </w:p>
    <w:p w14:paraId="0FB4BA55">
      <w:pPr>
        <w:tabs>
          <w:tab w:val="left" w:pos="0"/>
        </w:tabs>
        <w:spacing w:line="360" w:lineRule="auto"/>
        <w:ind w:firstLine="630" w:firstLineChars="300"/>
        <w:rPr>
          <w:color w:val="auto"/>
          <w:szCs w:val="21"/>
        </w:rPr>
      </w:pPr>
      <w:r>
        <w:rPr>
          <w:rFonts w:hint="eastAsia" w:ascii="宋体" w:hAnsi="宋体"/>
          <w:color w:val="auto"/>
          <w:szCs w:val="22"/>
        </w:rPr>
        <w:t>3</w:t>
      </w:r>
      <w:r>
        <w:rPr>
          <w:color w:val="auto"/>
          <w:szCs w:val="21"/>
          <w:highlight w:val="white"/>
        </w:rPr>
        <w:t>分项报价表中的单价与对应的合计价不相符的，以单价为准，修正对应的该项合计价；</w:t>
      </w:r>
    </w:p>
    <w:p w14:paraId="0EBD3F82">
      <w:pPr>
        <w:tabs>
          <w:tab w:val="left" w:pos="0"/>
        </w:tabs>
        <w:spacing w:line="360" w:lineRule="auto"/>
        <w:ind w:firstLine="630" w:firstLineChars="300"/>
        <w:rPr>
          <w:color w:val="auto"/>
          <w:szCs w:val="21"/>
        </w:rPr>
      </w:pPr>
      <w:r>
        <w:rPr>
          <w:rFonts w:hint="eastAsia" w:ascii="宋体" w:hAnsi="宋体"/>
          <w:color w:val="auto"/>
          <w:szCs w:val="22"/>
        </w:rPr>
        <w:t>4.</w:t>
      </w:r>
      <w:r>
        <w:rPr>
          <w:color w:val="auto"/>
          <w:szCs w:val="21"/>
          <w:highlight w:val="white"/>
        </w:rPr>
        <w:t>大写金额和小写金额不一致的，以大写金额为准；</w:t>
      </w:r>
    </w:p>
    <w:p w14:paraId="4D5716B5">
      <w:pPr>
        <w:tabs>
          <w:tab w:val="left" w:pos="0"/>
        </w:tabs>
        <w:spacing w:line="360" w:lineRule="auto"/>
        <w:ind w:firstLine="630" w:firstLineChars="300"/>
        <w:rPr>
          <w:color w:val="auto"/>
          <w:szCs w:val="21"/>
        </w:rPr>
      </w:pPr>
      <w:r>
        <w:rPr>
          <w:rFonts w:hint="eastAsia" w:ascii="宋体" w:hAnsi="宋体"/>
          <w:color w:val="auto"/>
          <w:szCs w:val="22"/>
        </w:rPr>
        <w:t>5.</w:t>
      </w:r>
      <w:r>
        <w:rPr>
          <w:color w:val="auto"/>
          <w:szCs w:val="21"/>
          <w:highlight w:val="white"/>
        </w:rPr>
        <w:t>单价金额小数点有明显错位的，应以总价为准，并修改单价；</w:t>
      </w:r>
    </w:p>
    <w:p w14:paraId="0844D0D1">
      <w:pPr>
        <w:tabs>
          <w:tab w:val="left" w:pos="0"/>
        </w:tabs>
        <w:spacing w:line="360" w:lineRule="auto"/>
        <w:ind w:firstLine="630" w:firstLineChars="300"/>
        <w:rPr>
          <w:color w:val="auto"/>
          <w:szCs w:val="21"/>
        </w:rPr>
      </w:pPr>
      <w:r>
        <w:rPr>
          <w:rFonts w:hint="eastAsia" w:ascii="宋体" w:hAnsi="宋体"/>
          <w:color w:val="auto"/>
          <w:szCs w:val="22"/>
        </w:rPr>
        <w:t>6.</w:t>
      </w:r>
      <w:r>
        <w:rPr>
          <w:color w:val="auto"/>
          <w:szCs w:val="21"/>
          <w:highlight w:val="white"/>
        </w:rPr>
        <w:t>对不同文字文本</w:t>
      </w:r>
      <w:r>
        <w:rPr>
          <w:rFonts w:hint="eastAsia"/>
          <w:color w:val="auto"/>
          <w:szCs w:val="21"/>
          <w:highlight w:val="white"/>
        </w:rPr>
        <w:t>报价</w:t>
      </w:r>
      <w:r>
        <w:rPr>
          <w:color w:val="auto"/>
          <w:szCs w:val="21"/>
          <w:highlight w:val="white"/>
        </w:rPr>
        <w:t>文件的解释发生异议的，以中文文本为准；</w:t>
      </w:r>
    </w:p>
    <w:p w14:paraId="3109089D">
      <w:pPr>
        <w:tabs>
          <w:tab w:val="left" w:pos="0"/>
        </w:tabs>
        <w:spacing w:line="360" w:lineRule="auto"/>
        <w:ind w:firstLine="630" w:firstLineChars="300"/>
        <w:rPr>
          <w:color w:val="auto"/>
          <w:szCs w:val="21"/>
        </w:rPr>
      </w:pPr>
      <w:r>
        <w:rPr>
          <w:rFonts w:hint="eastAsia" w:ascii="宋体" w:hAnsi="宋体"/>
          <w:color w:val="auto"/>
          <w:szCs w:val="22"/>
        </w:rPr>
        <w:t>7.</w:t>
      </w:r>
      <w:r>
        <w:rPr>
          <w:rFonts w:ascii="宋体" w:hAnsi="宋体"/>
          <w:color w:val="auto"/>
          <w:szCs w:val="22"/>
          <w:highlight w:val="white"/>
        </w:rPr>
        <w:t>对</w:t>
      </w:r>
      <w:r>
        <w:rPr>
          <w:color w:val="auto"/>
          <w:szCs w:val="21"/>
          <w:highlight w:val="white"/>
        </w:rPr>
        <w:t>出现以上情况或因明显笔误而需修正任何内容时，均以</w:t>
      </w:r>
      <w:r>
        <w:rPr>
          <w:rFonts w:hint="eastAsia"/>
          <w:color w:val="auto"/>
          <w:szCs w:val="21"/>
          <w:highlight w:val="white"/>
        </w:rPr>
        <w:t>磋商</w:t>
      </w:r>
      <w:r>
        <w:rPr>
          <w:color w:val="auto"/>
          <w:szCs w:val="21"/>
          <w:highlight w:val="white"/>
        </w:rPr>
        <w:t>小组审定通过方为有效；</w:t>
      </w:r>
    </w:p>
    <w:p w14:paraId="104AF7F1">
      <w:pPr>
        <w:tabs>
          <w:tab w:val="left" w:pos="0"/>
        </w:tabs>
        <w:spacing w:line="360" w:lineRule="auto"/>
        <w:ind w:firstLine="630" w:firstLineChars="300"/>
        <w:rPr>
          <w:color w:val="auto"/>
          <w:szCs w:val="21"/>
        </w:rPr>
      </w:pPr>
      <w:r>
        <w:rPr>
          <w:rFonts w:hint="eastAsia" w:ascii="宋体" w:hAnsi="宋体"/>
          <w:color w:val="auto"/>
          <w:szCs w:val="22"/>
        </w:rPr>
        <w:t>8.</w:t>
      </w:r>
      <w:r>
        <w:rPr>
          <w:rFonts w:ascii="宋体" w:hAnsi="宋体"/>
          <w:color w:val="auto"/>
          <w:szCs w:val="22"/>
          <w:highlight w:val="white"/>
        </w:rPr>
        <w:t>对</w:t>
      </w:r>
      <w:r>
        <w:rPr>
          <w:color w:val="auto"/>
          <w:szCs w:val="21"/>
          <w:highlight w:val="white"/>
        </w:rPr>
        <w:t>采购项目的关键、主要内容，</w:t>
      </w:r>
      <w:r>
        <w:rPr>
          <w:rFonts w:hint="eastAsia"/>
          <w:color w:val="auto"/>
          <w:szCs w:val="21"/>
          <w:highlight w:val="white"/>
        </w:rPr>
        <w:t>响应供应商</w:t>
      </w:r>
      <w:r>
        <w:rPr>
          <w:color w:val="auto"/>
          <w:szCs w:val="21"/>
          <w:highlight w:val="white"/>
        </w:rPr>
        <w:t>报价漏项的，作非实质性响应处理；</w:t>
      </w:r>
    </w:p>
    <w:p w14:paraId="1C1F31F2">
      <w:pPr>
        <w:tabs>
          <w:tab w:val="left" w:pos="0"/>
        </w:tabs>
        <w:spacing w:line="360" w:lineRule="auto"/>
        <w:ind w:firstLine="630" w:firstLineChars="300"/>
        <w:rPr>
          <w:color w:val="auto"/>
          <w:szCs w:val="21"/>
        </w:rPr>
      </w:pPr>
      <w:r>
        <w:rPr>
          <w:rFonts w:hint="eastAsia" w:ascii="宋体" w:hAnsi="宋体"/>
          <w:color w:val="auto"/>
          <w:szCs w:val="22"/>
        </w:rPr>
        <w:t>9.</w:t>
      </w:r>
      <w:r>
        <w:rPr>
          <w:rFonts w:hint="eastAsia"/>
          <w:color w:val="auto"/>
          <w:szCs w:val="21"/>
          <w:highlight w:val="white"/>
        </w:rPr>
        <w:t>磋商</w:t>
      </w:r>
      <w:r>
        <w:rPr>
          <w:color w:val="auto"/>
          <w:szCs w:val="21"/>
          <w:highlight w:val="white"/>
        </w:rPr>
        <w:t>小组认定为表述不清晰或无法确定的报价均不予修正。</w:t>
      </w:r>
    </w:p>
    <w:p w14:paraId="24B6AC00">
      <w:pPr>
        <w:spacing w:line="360" w:lineRule="auto"/>
        <w:rPr>
          <w:rFonts w:ascii="宋体" w:hAnsi="宋体"/>
          <w:color w:val="auto"/>
          <w:szCs w:val="22"/>
          <w:lang w:val="zh-CN"/>
        </w:rPr>
      </w:pPr>
      <w:r>
        <w:rPr>
          <w:rFonts w:hint="eastAsia" w:ascii="宋体" w:hAnsi="宋体"/>
          <w:color w:val="auto"/>
          <w:szCs w:val="22"/>
          <w:lang w:val="zh-CN"/>
        </w:rPr>
        <w:t>（</w:t>
      </w:r>
      <w:r>
        <w:rPr>
          <w:rFonts w:hint="eastAsia" w:ascii="宋体" w:hAnsi="宋体"/>
          <w:color w:val="auto"/>
          <w:szCs w:val="22"/>
        </w:rPr>
        <w:t>三</w:t>
      </w:r>
      <w:r>
        <w:rPr>
          <w:rFonts w:hint="eastAsia" w:ascii="宋体" w:hAnsi="宋体"/>
          <w:color w:val="auto"/>
          <w:szCs w:val="22"/>
          <w:lang w:val="zh-CN"/>
        </w:rPr>
        <w:t>）</w:t>
      </w:r>
      <w:r>
        <w:rPr>
          <w:rFonts w:hint="eastAsia" w:ascii="宋体" w:hAnsi="宋体"/>
          <w:color w:val="auto"/>
          <w:szCs w:val="22"/>
          <w:highlight w:val="white"/>
        </w:rPr>
        <w:t>报价</w:t>
      </w:r>
      <w:r>
        <w:rPr>
          <w:rFonts w:hint="eastAsia" w:ascii="宋体" w:hAnsi="宋体"/>
          <w:color w:val="auto"/>
          <w:szCs w:val="22"/>
          <w:highlight w:val="white"/>
          <w:lang w:val="zh-CN"/>
        </w:rPr>
        <w:t>文件的澄清、说明或更正</w:t>
      </w:r>
    </w:p>
    <w:p w14:paraId="21AC82BC">
      <w:pPr>
        <w:widowControl/>
        <w:tabs>
          <w:tab w:val="left" w:pos="0"/>
          <w:tab w:val="left" w:pos="840"/>
        </w:tabs>
        <w:spacing w:line="360" w:lineRule="auto"/>
        <w:ind w:firstLine="630" w:firstLineChars="300"/>
        <w:rPr>
          <w:color w:val="auto"/>
          <w:szCs w:val="21"/>
        </w:rPr>
      </w:pPr>
      <w:r>
        <w:rPr>
          <w:rFonts w:hint="eastAsia" w:ascii="宋体" w:hAnsi="宋体"/>
          <w:color w:val="auto"/>
          <w:szCs w:val="22"/>
        </w:rPr>
        <w:t>1.</w:t>
      </w:r>
      <w:r>
        <w:rPr>
          <w:rFonts w:hint="eastAsia"/>
          <w:color w:val="auto"/>
          <w:szCs w:val="21"/>
          <w:highlight w:val="white"/>
        </w:rPr>
        <w:t>磋商</w:t>
      </w:r>
      <w:r>
        <w:rPr>
          <w:color w:val="auto"/>
          <w:szCs w:val="21"/>
          <w:highlight w:val="white"/>
        </w:rPr>
        <w:t>小组在对</w:t>
      </w:r>
      <w:r>
        <w:rPr>
          <w:rFonts w:hint="eastAsia"/>
          <w:color w:val="auto"/>
          <w:szCs w:val="21"/>
          <w:highlight w:val="white"/>
        </w:rPr>
        <w:t>报价</w:t>
      </w:r>
      <w:r>
        <w:rPr>
          <w:color w:val="auto"/>
          <w:szCs w:val="21"/>
          <w:highlight w:val="white"/>
        </w:rPr>
        <w:t>文件的有效性、完整性和响应程度进行审查时，可以要求</w:t>
      </w:r>
      <w:r>
        <w:rPr>
          <w:rFonts w:hint="eastAsia"/>
          <w:color w:val="auto"/>
          <w:szCs w:val="21"/>
          <w:highlight w:val="white"/>
        </w:rPr>
        <w:t>响应供应商</w:t>
      </w:r>
      <w:r>
        <w:rPr>
          <w:color w:val="auto"/>
          <w:szCs w:val="21"/>
          <w:highlight w:val="white"/>
        </w:rPr>
        <w:t>对</w:t>
      </w:r>
      <w:r>
        <w:rPr>
          <w:rFonts w:hint="eastAsia"/>
          <w:color w:val="auto"/>
          <w:szCs w:val="21"/>
          <w:highlight w:val="white"/>
        </w:rPr>
        <w:t>报价</w:t>
      </w:r>
      <w:r>
        <w:rPr>
          <w:color w:val="auto"/>
          <w:szCs w:val="21"/>
          <w:highlight w:val="white"/>
        </w:rPr>
        <w:t>文件中含义不明确、同类问题表述不一致或者有明显文字和计算错误的内容等作出必要的澄清、说明或者更正。供应商的澄清、说明或者更正不得超出</w:t>
      </w:r>
      <w:r>
        <w:rPr>
          <w:rFonts w:hint="eastAsia"/>
          <w:color w:val="auto"/>
          <w:szCs w:val="21"/>
          <w:highlight w:val="white"/>
        </w:rPr>
        <w:t>报价</w:t>
      </w:r>
      <w:r>
        <w:rPr>
          <w:color w:val="auto"/>
          <w:szCs w:val="21"/>
          <w:highlight w:val="white"/>
        </w:rPr>
        <w:t>文件的范围或者改变</w:t>
      </w:r>
      <w:r>
        <w:rPr>
          <w:rFonts w:hint="eastAsia"/>
          <w:color w:val="auto"/>
          <w:szCs w:val="21"/>
          <w:highlight w:val="white"/>
        </w:rPr>
        <w:t>报价</w:t>
      </w:r>
      <w:r>
        <w:rPr>
          <w:color w:val="auto"/>
          <w:szCs w:val="21"/>
          <w:highlight w:val="white"/>
        </w:rPr>
        <w:t>文件的实质性内容。</w:t>
      </w:r>
    </w:p>
    <w:p w14:paraId="14FACC1D">
      <w:pPr>
        <w:widowControl/>
        <w:tabs>
          <w:tab w:val="left" w:pos="0"/>
          <w:tab w:val="left" w:pos="840"/>
        </w:tabs>
        <w:spacing w:line="360" w:lineRule="auto"/>
        <w:ind w:firstLine="630" w:firstLineChars="300"/>
        <w:rPr>
          <w:color w:val="auto"/>
          <w:szCs w:val="21"/>
        </w:rPr>
      </w:pPr>
      <w:r>
        <w:rPr>
          <w:rFonts w:hint="eastAsia" w:ascii="宋体" w:hAnsi="宋体"/>
          <w:color w:val="auto"/>
          <w:szCs w:val="22"/>
        </w:rPr>
        <w:t>2.</w:t>
      </w:r>
      <w:r>
        <w:rPr>
          <w:rFonts w:hint="eastAsia"/>
          <w:color w:val="auto"/>
          <w:szCs w:val="21"/>
          <w:highlight w:val="white"/>
        </w:rPr>
        <w:t>磋商</w:t>
      </w:r>
      <w:r>
        <w:rPr>
          <w:color w:val="auto"/>
          <w:szCs w:val="21"/>
          <w:highlight w:val="white"/>
        </w:rPr>
        <w:t>小组要求供应商澄清、说明或者更正</w:t>
      </w:r>
      <w:r>
        <w:rPr>
          <w:rFonts w:hint="eastAsia"/>
          <w:color w:val="auto"/>
          <w:szCs w:val="21"/>
          <w:highlight w:val="white"/>
        </w:rPr>
        <w:t>报价</w:t>
      </w:r>
      <w:r>
        <w:rPr>
          <w:color w:val="auto"/>
          <w:szCs w:val="21"/>
          <w:highlight w:val="white"/>
        </w:rPr>
        <w:t>文件应当以书面形式作出。供应商的澄清、说明或者更正应当由法定代表人或其授权代表签字或者加盖公章。</w:t>
      </w:r>
    </w:p>
    <w:p w14:paraId="492F0D33">
      <w:pPr>
        <w:widowControl/>
        <w:tabs>
          <w:tab w:val="left" w:pos="0"/>
          <w:tab w:val="left" w:pos="840"/>
        </w:tabs>
        <w:spacing w:line="360" w:lineRule="auto"/>
        <w:ind w:firstLine="630" w:firstLineChars="300"/>
        <w:rPr>
          <w:color w:val="auto"/>
          <w:szCs w:val="21"/>
        </w:rPr>
      </w:pPr>
      <w:r>
        <w:rPr>
          <w:rFonts w:hint="eastAsia" w:ascii="宋体" w:hAnsi="宋体"/>
          <w:color w:val="auto"/>
          <w:szCs w:val="22"/>
        </w:rPr>
        <w:t>3.</w:t>
      </w:r>
      <w:r>
        <w:rPr>
          <w:rFonts w:hint="eastAsia" w:ascii="宋体" w:hAnsi="宋体"/>
          <w:color w:val="auto"/>
          <w:szCs w:val="22"/>
          <w:highlight w:val="white"/>
        </w:rPr>
        <w:t>磋商</w:t>
      </w:r>
      <w:r>
        <w:rPr>
          <w:color w:val="auto"/>
          <w:szCs w:val="21"/>
          <w:highlight w:val="white"/>
        </w:rPr>
        <w:t>小组均应当阅读供应商的澄清、说明或者更正，但应独立参考澄清、说明或者更正对</w:t>
      </w:r>
      <w:r>
        <w:rPr>
          <w:rFonts w:hint="eastAsia"/>
          <w:color w:val="auto"/>
          <w:szCs w:val="21"/>
          <w:highlight w:val="white"/>
        </w:rPr>
        <w:t>报价文件</w:t>
      </w:r>
      <w:r>
        <w:rPr>
          <w:color w:val="auto"/>
          <w:szCs w:val="21"/>
          <w:highlight w:val="white"/>
        </w:rPr>
        <w:t>进行评审，整个澄清、说明或者更正的过程不得存在排斥潜在供应商的现象。</w:t>
      </w:r>
    </w:p>
    <w:p w14:paraId="52978BBC">
      <w:pPr>
        <w:widowControl/>
        <w:tabs>
          <w:tab w:val="left" w:pos="0"/>
          <w:tab w:val="left" w:pos="840"/>
        </w:tabs>
        <w:spacing w:line="360" w:lineRule="auto"/>
        <w:ind w:firstLine="630" w:firstLineChars="300"/>
        <w:rPr>
          <w:color w:val="auto"/>
          <w:szCs w:val="21"/>
        </w:rPr>
      </w:pPr>
      <w:r>
        <w:rPr>
          <w:rFonts w:hint="eastAsia" w:ascii="宋体" w:hAnsi="宋体"/>
          <w:color w:val="auto"/>
          <w:szCs w:val="22"/>
        </w:rPr>
        <w:t>4.</w:t>
      </w:r>
      <w:r>
        <w:rPr>
          <w:color w:val="auto"/>
          <w:szCs w:val="21"/>
          <w:highlight w:val="white"/>
        </w:rPr>
        <w:t>除上述规定的情形之外，</w:t>
      </w:r>
      <w:r>
        <w:rPr>
          <w:rFonts w:hint="eastAsia"/>
          <w:color w:val="auto"/>
          <w:szCs w:val="21"/>
          <w:highlight w:val="white"/>
        </w:rPr>
        <w:t>磋商</w:t>
      </w:r>
      <w:r>
        <w:rPr>
          <w:color w:val="auto"/>
          <w:szCs w:val="21"/>
          <w:highlight w:val="white"/>
        </w:rPr>
        <w:t>小组在评审过程中，不得接收来自评审现场以外的任何形式的文件资料。</w:t>
      </w:r>
    </w:p>
    <w:p w14:paraId="7533B38C">
      <w:pPr>
        <w:widowControl/>
        <w:spacing w:line="360" w:lineRule="auto"/>
        <w:rPr>
          <w:rFonts w:ascii="宋体" w:hAnsi="宋体"/>
          <w:color w:val="auto"/>
          <w:szCs w:val="22"/>
          <w:highlight w:val="white"/>
        </w:rPr>
      </w:pPr>
      <w:r>
        <w:rPr>
          <w:rFonts w:hint="eastAsia" w:ascii="宋体" w:hAnsi="宋体"/>
          <w:color w:val="auto"/>
          <w:szCs w:val="22"/>
          <w:highlight w:val="white"/>
        </w:rPr>
        <w:t>（四）磋商小组认为，供应商的报价明显不合理或者明显低于其他供应商报价，有可能影响商品质量和不能诚信履约的，应当要求该供应商作出书面说明并提供相关证明材料。供应商不能合理说明或者不能提供相关证明材料的，由磋商小组认定该供应商为低于成本报价，报价无效。</w:t>
      </w:r>
    </w:p>
    <w:p w14:paraId="31E50AD9">
      <w:pPr>
        <w:autoSpaceDE w:val="0"/>
        <w:autoSpaceDN w:val="0"/>
        <w:adjustRightInd w:val="0"/>
        <w:spacing w:line="360" w:lineRule="auto"/>
        <w:ind w:right="678" w:rightChars="323"/>
        <w:jc w:val="left"/>
        <w:rPr>
          <w:rFonts w:ascii="宋体" w:hAnsi="宋体" w:cs="JEIUCH+ËÎÌå"/>
          <w:color w:val="auto"/>
          <w:szCs w:val="21"/>
        </w:rPr>
      </w:pPr>
      <w:r>
        <w:rPr>
          <w:rFonts w:hint="eastAsia" w:ascii="宋体" w:hAnsi="宋体" w:cs="JEIUCH+ËÎÌå"/>
          <w:color w:val="auto"/>
          <w:szCs w:val="21"/>
        </w:rPr>
        <w:t>（五）评审细则</w:t>
      </w:r>
    </w:p>
    <w:p w14:paraId="06A43294">
      <w:pPr>
        <w:widowControl/>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hint="eastAsia" w:ascii="宋体" w:hAnsi="宋体" w:cs="JEIUCH+ËÎÌå"/>
          <w:color w:val="auto"/>
          <w:szCs w:val="21"/>
        </w:rPr>
        <w:t>1.商务评定</w:t>
      </w:r>
    </w:p>
    <w:p w14:paraId="367EBBA9">
      <w:pPr>
        <w:widowControl/>
        <w:tabs>
          <w:tab w:val="left" w:pos="9460"/>
        </w:tabs>
        <w:autoSpaceDE w:val="0"/>
        <w:autoSpaceDN w:val="0"/>
        <w:adjustRightInd w:val="0"/>
        <w:spacing w:line="360" w:lineRule="auto"/>
        <w:ind w:right="8" w:rightChars="0" w:firstLine="420" w:firstLineChars="200"/>
        <w:jc w:val="left"/>
        <w:rPr>
          <w:rFonts w:ascii="宋体" w:hAnsi="宋体" w:cs="JEIUCH+ËÎÌå"/>
          <w:color w:val="auto"/>
          <w:szCs w:val="21"/>
        </w:rPr>
      </w:pPr>
      <w:r>
        <w:rPr>
          <w:rFonts w:hint="eastAsia" w:ascii="宋体" w:hAnsi="宋体" w:cs="JEIUCH+ËÎÌå"/>
          <w:color w:val="auto"/>
          <w:szCs w:val="21"/>
        </w:rPr>
        <w:t>（1）由评委对所有有效报价文件的商务条件进行审核和评价，填写《商务评审表》，评审内容见附表。</w:t>
      </w:r>
    </w:p>
    <w:p w14:paraId="43C73001">
      <w:pPr>
        <w:autoSpaceDE w:val="0"/>
        <w:autoSpaceDN w:val="0"/>
        <w:adjustRightInd w:val="0"/>
        <w:ind w:right="678" w:rightChars="323" w:firstLine="420" w:firstLineChars="200"/>
        <w:rPr>
          <w:rFonts w:ascii="宋体" w:hAnsi="宋体" w:cs="JEIUCH+ËÎÌå"/>
          <w:color w:val="auto"/>
          <w:szCs w:val="21"/>
        </w:rPr>
      </w:pPr>
      <w:r>
        <w:rPr>
          <w:rFonts w:hint="eastAsia" w:ascii="宋体" w:hAnsi="宋体" w:cs="JEIUCH+ËÎÌå"/>
          <w:color w:val="auto"/>
          <w:szCs w:val="21"/>
        </w:rPr>
        <w:t>（2）将每一个评委的评分汇总进行算术平均，得出该响应供应商的商务评分。</w:t>
      </w:r>
    </w:p>
    <w:p w14:paraId="0E022C07">
      <w:pPr>
        <w:widowControl/>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hint="eastAsia" w:ascii="宋体" w:hAnsi="宋体" w:cs="JEIUCH+ËÎÌå"/>
          <w:color w:val="auto"/>
          <w:szCs w:val="21"/>
        </w:rPr>
        <w:t>2.技术评定</w:t>
      </w:r>
    </w:p>
    <w:p w14:paraId="0F49CEF0">
      <w:pPr>
        <w:widowControl/>
        <w:tabs>
          <w:tab w:val="left" w:pos="720"/>
          <w:tab w:val="left" w:pos="1080"/>
        </w:tabs>
        <w:spacing w:line="360" w:lineRule="auto"/>
        <w:ind w:firstLine="420" w:firstLineChars="200"/>
        <w:rPr>
          <w:rFonts w:ascii="宋体" w:hAnsi="宋体"/>
          <w:color w:val="auto"/>
          <w:szCs w:val="21"/>
        </w:rPr>
      </w:pPr>
      <w:r>
        <w:rPr>
          <w:rFonts w:hint="eastAsia" w:ascii="宋体" w:hAnsi="宋体"/>
          <w:color w:val="auto"/>
          <w:szCs w:val="21"/>
        </w:rPr>
        <w:t>（1）由评委对所有有效报价文件的服务响应方案进行审核和分析，填写《技术评审表》。评审内容见附表。</w:t>
      </w:r>
    </w:p>
    <w:p w14:paraId="0B48E27D">
      <w:pPr>
        <w:widowControl/>
        <w:tabs>
          <w:tab w:val="left" w:pos="720"/>
          <w:tab w:val="left" w:pos="1080"/>
        </w:tabs>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zh-CN"/>
        </w:rPr>
        <w:t>将每一个评委的评分汇总进行算术平均，得出该</w:t>
      </w:r>
      <w:r>
        <w:rPr>
          <w:rFonts w:hint="eastAsia" w:ascii="宋体" w:hAnsi="宋体"/>
          <w:color w:val="auto"/>
          <w:szCs w:val="21"/>
        </w:rPr>
        <w:t>响应供应商</w:t>
      </w:r>
      <w:r>
        <w:rPr>
          <w:rFonts w:hint="eastAsia" w:ascii="宋体" w:hAnsi="宋体"/>
          <w:color w:val="auto"/>
          <w:szCs w:val="21"/>
          <w:lang w:val="zh-CN"/>
        </w:rPr>
        <w:t>的技术评分。</w:t>
      </w:r>
    </w:p>
    <w:p w14:paraId="4DC575EA">
      <w:pPr>
        <w:widowControl/>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hint="eastAsia" w:ascii="宋体" w:hAnsi="宋体" w:cs="JEIUCH+ËÎÌå"/>
          <w:color w:val="auto"/>
          <w:szCs w:val="21"/>
        </w:rPr>
        <w:t>3.价格评定</w:t>
      </w:r>
    </w:p>
    <w:p w14:paraId="51D64ABE">
      <w:pPr>
        <w:widowControl/>
        <w:tabs>
          <w:tab w:val="left" w:pos="720"/>
        </w:tabs>
        <w:spacing w:line="360" w:lineRule="auto"/>
        <w:ind w:firstLine="420" w:firstLineChars="200"/>
        <w:rPr>
          <w:rFonts w:ascii="宋体" w:hAnsi="宋体"/>
          <w:color w:val="auto"/>
          <w:szCs w:val="21"/>
        </w:rPr>
      </w:pPr>
      <w:r>
        <w:rPr>
          <w:rFonts w:hint="eastAsia" w:ascii="宋体" w:hAnsi="宋体"/>
          <w:color w:val="auto"/>
          <w:szCs w:val="21"/>
          <w:highlight w:val="none"/>
          <w:lang w:eastAsia="zh-CN"/>
        </w:rPr>
        <w:t>（</w:t>
      </w:r>
      <w:r>
        <w:rPr>
          <w:rFonts w:hint="eastAsia" w:ascii="宋体" w:hAnsi="宋体"/>
          <w:color w:val="auto"/>
          <w:szCs w:val="21"/>
          <w:highlight w:val="none"/>
        </w:rPr>
        <w:t>1）</w:t>
      </w:r>
      <w:r>
        <w:rPr>
          <w:rFonts w:hint="eastAsia" w:ascii="宋体" w:hAnsi="宋体"/>
          <w:color w:val="auto"/>
          <w:szCs w:val="21"/>
        </w:rPr>
        <w:t>价格评分：价格分统一采用低价优先法计算，即满足磋商文件要求（通过资格审查和最终符合性审查）且价格最低的评标价(指按上述条款修正及价格扣除后报价，下同)为磋商基准价，其价格分为满分。其他响应供应商的价格分统一按照下列公式计算：</w:t>
      </w:r>
    </w:p>
    <w:p w14:paraId="2E0C7F78">
      <w:pPr>
        <w:tabs>
          <w:tab w:val="left" w:pos="720"/>
          <w:tab w:val="left" w:pos="5460"/>
        </w:tabs>
        <w:spacing w:line="360" w:lineRule="auto"/>
        <w:ind w:firstLine="630" w:firstLineChars="300"/>
        <w:rPr>
          <w:rFonts w:ascii="宋体" w:hAnsi="宋体" w:cs="宋体"/>
          <w:color w:val="auto"/>
          <w:szCs w:val="21"/>
        </w:rPr>
      </w:pPr>
      <w:r>
        <w:rPr>
          <w:rFonts w:hint="eastAsia" w:ascii="宋体" w:hAnsi="宋体" w:cs="宋体"/>
          <w:color w:val="auto"/>
          <w:szCs w:val="21"/>
        </w:rPr>
        <w:t>磋商报价得分=磋商基准价/最后磋商报价×</w:t>
      </w:r>
      <w:r>
        <w:rPr>
          <w:rFonts w:hint="eastAsia" w:ascii="宋体" w:hAnsi="宋体" w:cs="宋体"/>
          <w:color w:val="auto"/>
          <w:szCs w:val="21"/>
          <w:lang w:val="en-US" w:eastAsia="zh-CN"/>
        </w:rPr>
        <w:t>3</w:t>
      </w:r>
      <w:r>
        <w:rPr>
          <w:rFonts w:hint="eastAsia" w:ascii="宋体" w:hAnsi="宋体" w:cs="宋体"/>
          <w:color w:val="auto"/>
          <w:szCs w:val="21"/>
        </w:rPr>
        <w:t>0</w:t>
      </w:r>
    </w:p>
    <w:p w14:paraId="52F51D37">
      <w:pPr>
        <w:widowControl/>
        <w:spacing w:line="360" w:lineRule="auto"/>
        <w:ind w:firstLine="420" w:firstLineChars="200"/>
        <w:jc w:val="left"/>
        <w:rPr>
          <w:rFonts w:ascii="宋体" w:hAnsi="宋体"/>
          <w:color w:val="auto"/>
          <w:szCs w:val="21"/>
        </w:rPr>
      </w:pPr>
      <w:r>
        <w:rPr>
          <w:rFonts w:hint="eastAsia" w:ascii="宋体" w:hAnsi="宋体"/>
          <w:color w:val="auto"/>
          <w:szCs w:val="21"/>
        </w:rPr>
        <w:t>4.本次评标采用综合评分法。评分比重如下：</w:t>
      </w:r>
    </w:p>
    <w:tbl>
      <w:tblPr>
        <w:tblStyle w:val="36"/>
        <w:tblW w:w="89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1793"/>
        <w:gridCol w:w="1793"/>
        <w:gridCol w:w="1793"/>
        <w:gridCol w:w="1796"/>
      </w:tblGrid>
      <w:tr w14:paraId="445E8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3" w:type="dxa"/>
            <w:tcBorders>
              <w:top w:val="single" w:color="auto" w:sz="4" w:space="0"/>
              <w:left w:val="single" w:color="auto" w:sz="4" w:space="0"/>
              <w:bottom w:val="single" w:color="auto" w:sz="4" w:space="0"/>
              <w:right w:val="single" w:color="auto" w:sz="4" w:space="0"/>
            </w:tcBorders>
            <w:vAlign w:val="center"/>
          </w:tcPr>
          <w:p w14:paraId="28630B90">
            <w:pPr>
              <w:spacing w:line="360" w:lineRule="auto"/>
              <w:jc w:val="center"/>
              <w:rPr>
                <w:rFonts w:ascii="宋体" w:hAnsi="宋体"/>
                <w:bCs/>
                <w:color w:val="auto"/>
                <w:szCs w:val="21"/>
              </w:rPr>
            </w:pPr>
            <w:r>
              <w:rPr>
                <w:rFonts w:hint="eastAsia" w:ascii="宋体" w:hAnsi="宋体"/>
                <w:bCs/>
                <w:color w:val="auto"/>
                <w:szCs w:val="21"/>
              </w:rPr>
              <w:t>评分项目</w:t>
            </w:r>
          </w:p>
        </w:tc>
        <w:tc>
          <w:tcPr>
            <w:tcW w:w="1793" w:type="dxa"/>
            <w:tcBorders>
              <w:top w:val="single" w:color="auto" w:sz="4" w:space="0"/>
              <w:left w:val="single" w:color="auto" w:sz="4" w:space="0"/>
              <w:bottom w:val="single" w:color="auto" w:sz="4" w:space="0"/>
              <w:right w:val="single" w:color="auto" w:sz="4" w:space="0"/>
            </w:tcBorders>
            <w:vAlign w:val="center"/>
          </w:tcPr>
          <w:p w14:paraId="1FEA8190">
            <w:pPr>
              <w:spacing w:line="360" w:lineRule="auto"/>
              <w:jc w:val="center"/>
              <w:rPr>
                <w:rFonts w:ascii="宋体" w:hAnsi="宋体"/>
                <w:bCs/>
                <w:color w:val="auto"/>
                <w:szCs w:val="21"/>
              </w:rPr>
            </w:pPr>
            <w:r>
              <w:rPr>
                <w:rFonts w:hint="eastAsia" w:ascii="宋体" w:hAnsi="宋体"/>
                <w:bCs/>
                <w:color w:val="auto"/>
                <w:szCs w:val="21"/>
              </w:rPr>
              <w:t xml:space="preserve">商务部分   </w:t>
            </w:r>
          </w:p>
        </w:tc>
        <w:tc>
          <w:tcPr>
            <w:tcW w:w="1793" w:type="dxa"/>
            <w:tcBorders>
              <w:top w:val="single" w:color="auto" w:sz="4" w:space="0"/>
              <w:left w:val="single" w:color="auto" w:sz="4" w:space="0"/>
              <w:bottom w:val="single" w:color="auto" w:sz="4" w:space="0"/>
              <w:right w:val="single" w:color="auto" w:sz="4" w:space="0"/>
            </w:tcBorders>
            <w:vAlign w:val="center"/>
          </w:tcPr>
          <w:p w14:paraId="44FB60D2">
            <w:pPr>
              <w:spacing w:line="360" w:lineRule="auto"/>
              <w:jc w:val="center"/>
              <w:rPr>
                <w:rFonts w:ascii="宋体" w:hAnsi="宋体"/>
                <w:bCs/>
                <w:color w:val="auto"/>
                <w:szCs w:val="21"/>
              </w:rPr>
            </w:pPr>
            <w:r>
              <w:rPr>
                <w:rFonts w:hint="eastAsia" w:ascii="宋体" w:hAnsi="宋体"/>
                <w:bCs/>
                <w:color w:val="auto"/>
                <w:szCs w:val="21"/>
              </w:rPr>
              <w:t xml:space="preserve">技术部分   </w:t>
            </w:r>
          </w:p>
        </w:tc>
        <w:tc>
          <w:tcPr>
            <w:tcW w:w="1793" w:type="dxa"/>
            <w:tcBorders>
              <w:top w:val="single" w:color="auto" w:sz="4" w:space="0"/>
              <w:left w:val="single" w:color="auto" w:sz="4" w:space="0"/>
              <w:bottom w:val="single" w:color="auto" w:sz="4" w:space="0"/>
              <w:right w:val="single" w:color="auto" w:sz="4" w:space="0"/>
            </w:tcBorders>
            <w:vAlign w:val="center"/>
          </w:tcPr>
          <w:p w14:paraId="46767B26">
            <w:pPr>
              <w:spacing w:line="360" w:lineRule="auto"/>
              <w:jc w:val="center"/>
              <w:rPr>
                <w:rFonts w:ascii="宋体" w:hAnsi="宋体"/>
                <w:bCs/>
                <w:color w:val="auto"/>
                <w:szCs w:val="21"/>
              </w:rPr>
            </w:pPr>
            <w:r>
              <w:rPr>
                <w:rFonts w:hint="eastAsia" w:ascii="宋体" w:hAnsi="宋体"/>
                <w:bCs/>
                <w:color w:val="auto"/>
                <w:szCs w:val="21"/>
              </w:rPr>
              <w:t>价格部分</w:t>
            </w:r>
          </w:p>
        </w:tc>
        <w:tc>
          <w:tcPr>
            <w:tcW w:w="1796" w:type="dxa"/>
            <w:tcBorders>
              <w:top w:val="single" w:color="auto" w:sz="4" w:space="0"/>
              <w:left w:val="single" w:color="auto" w:sz="4" w:space="0"/>
              <w:bottom w:val="single" w:color="auto" w:sz="4" w:space="0"/>
              <w:right w:val="single" w:color="auto" w:sz="4" w:space="0"/>
            </w:tcBorders>
          </w:tcPr>
          <w:p w14:paraId="6FFCEF87">
            <w:pPr>
              <w:spacing w:line="360" w:lineRule="auto"/>
              <w:jc w:val="center"/>
              <w:rPr>
                <w:rFonts w:ascii="宋体" w:hAnsi="宋体"/>
                <w:bCs/>
                <w:color w:val="auto"/>
                <w:szCs w:val="21"/>
              </w:rPr>
            </w:pPr>
            <w:r>
              <w:rPr>
                <w:rFonts w:hint="eastAsia" w:ascii="宋体" w:hAnsi="宋体"/>
                <w:bCs/>
                <w:color w:val="auto"/>
                <w:szCs w:val="21"/>
              </w:rPr>
              <w:t>总分</w:t>
            </w:r>
          </w:p>
        </w:tc>
      </w:tr>
      <w:tr w14:paraId="296D6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3" w:type="dxa"/>
            <w:tcBorders>
              <w:top w:val="single" w:color="auto" w:sz="4" w:space="0"/>
              <w:left w:val="single" w:color="auto" w:sz="4" w:space="0"/>
              <w:bottom w:val="single" w:color="auto" w:sz="4" w:space="0"/>
              <w:right w:val="single" w:color="auto" w:sz="4" w:space="0"/>
            </w:tcBorders>
            <w:vAlign w:val="center"/>
          </w:tcPr>
          <w:p w14:paraId="085226AF">
            <w:pPr>
              <w:spacing w:line="360" w:lineRule="auto"/>
              <w:jc w:val="center"/>
              <w:rPr>
                <w:rFonts w:ascii="宋体" w:hAnsi="宋体"/>
                <w:bCs/>
                <w:color w:val="auto"/>
                <w:szCs w:val="21"/>
              </w:rPr>
            </w:pPr>
            <w:r>
              <w:rPr>
                <w:rFonts w:hint="eastAsia" w:ascii="宋体" w:hAnsi="宋体"/>
                <w:bCs/>
                <w:color w:val="auto"/>
                <w:szCs w:val="21"/>
              </w:rPr>
              <w:t>权重</w:t>
            </w:r>
          </w:p>
        </w:tc>
        <w:tc>
          <w:tcPr>
            <w:tcW w:w="1793" w:type="dxa"/>
            <w:tcBorders>
              <w:top w:val="single" w:color="auto" w:sz="4" w:space="0"/>
              <w:left w:val="single" w:color="auto" w:sz="4" w:space="0"/>
              <w:bottom w:val="single" w:color="auto" w:sz="4" w:space="0"/>
              <w:right w:val="single" w:color="auto" w:sz="4" w:space="0"/>
            </w:tcBorders>
            <w:vAlign w:val="center"/>
          </w:tcPr>
          <w:p w14:paraId="04E25441">
            <w:pPr>
              <w:spacing w:line="360" w:lineRule="auto"/>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20</w:t>
            </w:r>
          </w:p>
        </w:tc>
        <w:tc>
          <w:tcPr>
            <w:tcW w:w="1793" w:type="dxa"/>
            <w:tcBorders>
              <w:top w:val="single" w:color="auto" w:sz="4" w:space="0"/>
              <w:left w:val="single" w:color="auto" w:sz="4" w:space="0"/>
              <w:bottom w:val="single" w:color="auto" w:sz="4" w:space="0"/>
              <w:right w:val="single" w:color="auto" w:sz="4" w:space="0"/>
            </w:tcBorders>
            <w:vAlign w:val="center"/>
          </w:tcPr>
          <w:p w14:paraId="6B22F175">
            <w:pPr>
              <w:spacing w:line="360" w:lineRule="auto"/>
              <w:jc w:val="center"/>
              <w:rPr>
                <w:rFonts w:ascii="宋体" w:hAnsi="宋体"/>
                <w:bCs/>
                <w:color w:val="auto"/>
                <w:szCs w:val="21"/>
              </w:rPr>
            </w:pPr>
            <w:r>
              <w:rPr>
                <w:rFonts w:hint="eastAsia" w:ascii="宋体" w:hAnsi="宋体"/>
                <w:bCs/>
                <w:color w:val="auto"/>
                <w:szCs w:val="21"/>
              </w:rPr>
              <w:t>50</w:t>
            </w:r>
          </w:p>
        </w:tc>
        <w:tc>
          <w:tcPr>
            <w:tcW w:w="1793" w:type="dxa"/>
            <w:tcBorders>
              <w:top w:val="single" w:color="auto" w:sz="4" w:space="0"/>
              <w:left w:val="single" w:color="auto" w:sz="4" w:space="0"/>
              <w:bottom w:val="single" w:color="auto" w:sz="4" w:space="0"/>
              <w:right w:val="single" w:color="auto" w:sz="4" w:space="0"/>
            </w:tcBorders>
            <w:vAlign w:val="center"/>
          </w:tcPr>
          <w:p w14:paraId="7571F3BE">
            <w:pPr>
              <w:spacing w:line="360" w:lineRule="auto"/>
              <w:jc w:val="center"/>
              <w:rPr>
                <w:rFonts w:hint="default" w:ascii="宋体" w:hAnsi="宋体"/>
                <w:bCs/>
                <w:color w:val="auto"/>
                <w:szCs w:val="21"/>
                <w:lang w:val="en-US"/>
              </w:rPr>
            </w:pPr>
            <w:r>
              <w:rPr>
                <w:rFonts w:hint="eastAsia" w:ascii="宋体" w:hAnsi="宋体"/>
                <w:bCs/>
                <w:color w:val="auto"/>
                <w:szCs w:val="21"/>
                <w:lang w:val="en-US" w:eastAsia="zh-CN"/>
              </w:rPr>
              <w:t>30</w:t>
            </w:r>
          </w:p>
        </w:tc>
        <w:tc>
          <w:tcPr>
            <w:tcW w:w="1796" w:type="dxa"/>
            <w:tcBorders>
              <w:top w:val="single" w:color="auto" w:sz="4" w:space="0"/>
              <w:left w:val="single" w:color="auto" w:sz="4" w:space="0"/>
              <w:bottom w:val="single" w:color="auto" w:sz="4" w:space="0"/>
              <w:right w:val="single" w:color="auto" w:sz="4" w:space="0"/>
            </w:tcBorders>
          </w:tcPr>
          <w:p w14:paraId="52E42365">
            <w:pPr>
              <w:spacing w:line="360" w:lineRule="auto"/>
              <w:jc w:val="center"/>
              <w:rPr>
                <w:rFonts w:ascii="宋体" w:hAnsi="宋体"/>
                <w:bCs/>
                <w:color w:val="auto"/>
                <w:szCs w:val="21"/>
              </w:rPr>
            </w:pPr>
            <w:r>
              <w:rPr>
                <w:rFonts w:hint="eastAsia" w:ascii="宋体" w:hAnsi="宋体"/>
                <w:bCs/>
                <w:color w:val="auto"/>
                <w:szCs w:val="21"/>
              </w:rPr>
              <w:t>100</w:t>
            </w:r>
          </w:p>
        </w:tc>
      </w:tr>
    </w:tbl>
    <w:p w14:paraId="7C4D384E">
      <w:pPr>
        <w:widowControl/>
        <w:autoSpaceDE w:val="0"/>
        <w:autoSpaceDN w:val="0"/>
        <w:adjustRightInd w:val="0"/>
        <w:spacing w:line="360" w:lineRule="auto"/>
        <w:ind w:right="678" w:rightChars="323"/>
        <w:jc w:val="left"/>
        <w:rPr>
          <w:rFonts w:ascii="宋体" w:hAnsi="宋体" w:cs="JEIUCH+ËÎÌå"/>
          <w:color w:val="auto"/>
          <w:szCs w:val="21"/>
        </w:rPr>
      </w:pPr>
      <w:r>
        <w:rPr>
          <w:rFonts w:hint="eastAsia" w:ascii="宋体" w:hAnsi="宋体" w:cs="JEIUCH+ËÎÌå"/>
          <w:color w:val="auto"/>
          <w:szCs w:val="21"/>
        </w:rPr>
        <w:t>（六）综合评分的计算</w:t>
      </w:r>
    </w:p>
    <w:p w14:paraId="0A471DBC">
      <w:pPr>
        <w:widowControl/>
        <w:tabs>
          <w:tab w:val="left" w:pos="720"/>
        </w:tabs>
        <w:spacing w:line="360" w:lineRule="auto"/>
        <w:ind w:firstLine="420" w:firstLineChars="200"/>
        <w:rPr>
          <w:rFonts w:ascii="宋体" w:hAnsi="宋体"/>
          <w:color w:val="auto"/>
          <w:szCs w:val="21"/>
        </w:rPr>
      </w:pPr>
      <w:r>
        <w:rPr>
          <w:rFonts w:hint="eastAsia" w:ascii="宋体" w:hAnsi="宋体"/>
          <w:color w:val="auto"/>
          <w:szCs w:val="21"/>
        </w:rPr>
        <w:t>1.综合评分=</w:t>
      </w:r>
      <w:r>
        <w:rPr>
          <w:rFonts w:hint="eastAsia" w:ascii="宋体" w:hAnsi="宋体"/>
          <w:bCs/>
          <w:color w:val="auto"/>
          <w:szCs w:val="21"/>
        </w:rPr>
        <w:t>商务得分</w:t>
      </w:r>
      <w:r>
        <w:rPr>
          <w:rFonts w:ascii="宋体" w:hAnsi="宋体"/>
          <w:bCs/>
          <w:color w:val="auto"/>
          <w:szCs w:val="21"/>
        </w:rPr>
        <w:t>+</w:t>
      </w:r>
      <w:r>
        <w:rPr>
          <w:rFonts w:hint="eastAsia" w:ascii="宋体" w:hAnsi="宋体"/>
          <w:bCs/>
          <w:color w:val="auto"/>
          <w:szCs w:val="21"/>
        </w:rPr>
        <w:t>服务得分</w:t>
      </w:r>
      <w:r>
        <w:rPr>
          <w:rFonts w:ascii="宋体" w:hAnsi="宋体"/>
          <w:bCs/>
          <w:color w:val="auto"/>
          <w:szCs w:val="21"/>
        </w:rPr>
        <w:t>+</w:t>
      </w:r>
      <w:r>
        <w:rPr>
          <w:rFonts w:hint="eastAsia" w:ascii="宋体" w:hAnsi="宋体"/>
          <w:bCs/>
          <w:color w:val="auto"/>
          <w:szCs w:val="21"/>
        </w:rPr>
        <w:t>价格得分。</w:t>
      </w:r>
    </w:p>
    <w:p w14:paraId="6C12DA07">
      <w:pPr>
        <w:widowControl/>
        <w:tabs>
          <w:tab w:val="left" w:pos="720"/>
        </w:tabs>
        <w:spacing w:line="360" w:lineRule="auto"/>
        <w:ind w:firstLine="420" w:firstLineChars="200"/>
        <w:rPr>
          <w:rFonts w:ascii="宋体" w:hAnsi="宋体" w:cs="JEIUCH+ËÎÌå"/>
          <w:color w:val="auto"/>
          <w:szCs w:val="21"/>
        </w:rPr>
      </w:pPr>
      <w:r>
        <w:rPr>
          <w:rFonts w:hint="eastAsia" w:ascii="宋体" w:hAnsi="宋体"/>
          <w:color w:val="auto"/>
          <w:szCs w:val="21"/>
        </w:rPr>
        <w:t>2.</w:t>
      </w:r>
      <w:r>
        <w:rPr>
          <w:rFonts w:hint="eastAsia"/>
          <w:color w:val="auto"/>
          <w:szCs w:val="21"/>
        </w:rPr>
        <w:t>各项得分按四舍五入原则精确到小数点后两位，如因计算软件四舍五入导致后两位小数相同的，则计算至后三位，依次类推，直接得出排序。将综合评分由高到低顺序排列。</w:t>
      </w:r>
    </w:p>
    <w:p w14:paraId="256795CC">
      <w:pPr>
        <w:widowControl/>
        <w:autoSpaceDE w:val="0"/>
        <w:autoSpaceDN w:val="0"/>
        <w:adjustRightInd w:val="0"/>
        <w:spacing w:line="360" w:lineRule="auto"/>
        <w:ind w:right="678" w:rightChars="323"/>
        <w:jc w:val="left"/>
        <w:rPr>
          <w:rFonts w:ascii="宋体" w:hAnsi="宋体" w:cs="JEIUCH+ËÎÌå"/>
          <w:color w:val="auto"/>
          <w:szCs w:val="21"/>
        </w:rPr>
      </w:pPr>
      <w:r>
        <w:rPr>
          <w:rFonts w:hint="eastAsia" w:ascii="宋体" w:hAnsi="宋体" w:cs="JEIUCH+ËÎÌå"/>
          <w:color w:val="auto"/>
          <w:szCs w:val="21"/>
        </w:rPr>
        <w:t>（七）推荐成交供应商候选人</w:t>
      </w:r>
    </w:p>
    <w:p w14:paraId="4C51EECD">
      <w:pPr>
        <w:widowControl/>
        <w:tabs>
          <w:tab w:val="left" w:pos="720"/>
        </w:tabs>
        <w:spacing w:line="360" w:lineRule="auto"/>
        <w:ind w:firstLine="420" w:firstLineChars="200"/>
        <w:rPr>
          <w:rFonts w:ascii="宋体" w:hAnsi="宋体"/>
          <w:color w:val="auto"/>
          <w:szCs w:val="21"/>
        </w:rPr>
      </w:pPr>
      <w:r>
        <w:rPr>
          <w:rFonts w:hint="eastAsia" w:ascii="宋体" w:hAnsi="宋体"/>
          <w:color w:val="auto"/>
          <w:szCs w:val="21"/>
        </w:rPr>
        <w:t>1.本项目磋商小组按综合总得分由高至低排序推荐得分前三名分别为第一、第二、第三成交供应商候选人。</w:t>
      </w:r>
    </w:p>
    <w:p w14:paraId="20C64502">
      <w:pPr>
        <w:widowControl/>
        <w:tabs>
          <w:tab w:val="left" w:pos="720"/>
        </w:tabs>
        <w:spacing w:line="360" w:lineRule="auto"/>
        <w:ind w:firstLine="420" w:firstLineChars="200"/>
        <w:rPr>
          <w:bCs/>
          <w:color w:val="auto"/>
          <w:szCs w:val="21"/>
        </w:rPr>
      </w:pPr>
      <w:r>
        <w:rPr>
          <w:rFonts w:hint="eastAsia" w:ascii="宋体" w:hAnsi="宋体"/>
          <w:color w:val="auto"/>
          <w:szCs w:val="21"/>
        </w:rPr>
        <w:t>2.总</w:t>
      </w:r>
      <w:r>
        <w:rPr>
          <w:rFonts w:hint="eastAsia"/>
          <w:bCs/>
          <w:color w:val="auto"/>
          <w:szCs w:val="21"/>
        </w:rPr>
        <w:t>得分相同的，按最终报价由低到高顺序排列。总得分且最终报价相同的，按技术得分由高至低排列。</w:t>
      </w:r>
    </w:p>
    <w:p w14:paraId="70DB6F41">
      <w:pPr>
        <w:widowControl/>
        <w:tabs>
          <w:tab w:val="left" w:pos="720"/>
        </w:tabs>
        <w:spacing w:line="360" w:lineRule="auto"/>
        <w:ind w:firstLine="420" w:firstLineChars="200"/>
        <w:rPr>
          <w:bCs/>
          <w:color w:val="auto"/>
          <w:szCs w:val="21"/>
        </w:rPr>
      </w:pPr>
      <w:r>
        <w:rPr>
          <w:rFonts w:hint="eastAsia" w:ascii="宋体" w:hAnsi="宋体" w:cs="宋体"/>
          <w:bCs/>
          <w:color w:val="auto"/>
          <w:szCs w:val="21"/>
        </w:rPr>
        <w:t>3.</w:t>
      </w:r>
      <w:r>
        <w:rPr>
          <w:rFonts w:hint="eastAsia"/>
          <w:bCs/>
          <w:color w:val="auto"/>
          <w:szCs w:val="21"/>
        </w:rPr>
        <w:t>第一成交供应商候选人无正当理由不得随意放弃成交资格。</w:t>
      </w:r>
    </w:p>
    <w:p w14:paraId="2FD67456">
      <w:pPr>
        <w:rPr>
          <w:rFonts w:ascii="宋体" w:hAnsi="宋体"/>
          <w:b/>
          <w:color w:val="auto"/>
          <w:szCs w:val="21"/>
        </w:rPr>
      </w:pPr>
      <w:r>
        <w:rPr>
          <w:rFonts w:hint="eastAsia" w:ascii="宋体" w:hAnsi="宋体"/>
          <w:b/>
          <w:color w:val="auto"/>
          <w:szCs w:val="21"/>
        </w:rPr>
        <w:t>四、确定成交供应商</w:t>
      </w:r>
    </w:p>
    <w:p w14:paraId="3A794FDA">
      <w:pPr>
        <w:widowControl/>
        <w:spacing w:line="360" w:lineRule="auto"/>
        <w:ind w:firstLine="420" w:firstLineChars="200"/>
        <w:rPr>
          <w:rFonts w:ascii="宋体" w:hAnsi="宋体"/>
          <w:color w:val="auto"/>
          <w:szCs w:val="22"/>
          <w:highlight w:val="white"/>
        </w:rPr>
      </w:pPr>
      <w:bookmarkStart w:id="108" w:name="_Toc6830"/>
      <w:r>
        <w:rPr>
          <w:rFonts w:hint="eastAsia" w:ascii="宋体" w:hAnsi="宋体"/>
          <w:color w:val="auto"/>
          <w:szCs w:val="22"/>
          <w:highlight w:val="white"/>
        </w:rPr>
        <w:t>（一）采购人在评标报告确定的成交供应商候选人名单中按顺序确定成交供应商。</w:t>
      </w:r>
      <w:bookmarkEnd w:id="108"/>
    </w:p>
    <w:p w14:paraId="0C4AD70C">
      <w:pPr>
        <w:widowControl/>
        <w:spacing w:line="360" w:lineRule="auto"/>
        <w:ind w:firstLine="420" w:firstLineChars="200"/>
        <w:rPr>
          <w:rFonts w:ascii="宋体" w:hAnsi="宋体"/>
          <w:color w:val="auto"/>
          <w:szCs w:val="22"/>
          <w:highlight w:val="white"/>
        </w:rPr>
      </w:pPr>
      <w:bookmarkStart w:id="109" w:name="_Toc10979"/>
      <w:r>
        <w:rPr>
          <w:rFonts w:hint="eastAsia" w:ascii="宋体" w:hAnsi="宋体"/>
          <w:color w:val="auto"/>
          <w:szCs w:val="22"/>
          <w:highlight w:val="white"/>
        </w:rPr>
        <w:t>（二）采购人确认结果后，采购代理机构将成交结果以网上公告的方式通知所有未成交的成交供应商。</w:t>
      </w:r>
      <w:bookmarkEnd w:id="109"/>
    </w:p>
    <w:p w14:paraId="4BDE8AD2">
      <w:pPr>
        <w:widowControl/>
        <w:spacing w:line="360" w:lineRule="auto"/>
        <w:ind w:firstLine="420" w:firstLineChars="200"/>
        <w:rPr>
          <w:rFonts w:ascii="宋体" w:hAnsi="宋体"/>
          <w:color w:val="auto"/>
          <w:szCs w:val="22"/>
          <w:highlight w:val="white"/>
        </w:rPr>
      </w:pPr>
      <w:bookmarkStart w:id="110" w:name="_Toc29238"/>
      <w:r>
        <w:rPr>
          <w:rFonts w:hint="eastAsia" w:ascii="宋体" w:hAnsi="宋体"/>
          <w:color w:val="auto"/>
          <w:szCs w:val="22"/>
          <w:highlight w:val="white"/>
        </w:rPr>
        <w:t>（三）成交结果公告后，采购代理机构以书面形式向成交供应商发出《招标代理服务费缴费通知书》。</w:t>
      </w:r>
      <w:bookmarkEnd w:id="110"/>
    </w:p>
    <w:p w14:paraId="6FF5FF2F">
      <w:pPr>
        <w:widowControl/>
        <w:spacing w:line="360" w:lineRule="auto"/>
        <w:ind w:firstLine="420" w:firstLineChars="200"/>
        <w:rPr>
          <w:rFonts w:ascii="宋体" w:hAnsi="宋体"/>
          <w:color w:val="auto"/>
          <w:szCs w:val="22"/>
          <w:highlight w:val="white"/>
        </w:rPr>
      </w:pPr>
      <w:bookmarkStart w:id="111" w:name="_Toc3095"/>
      <w:r>
        <w:rPr>
          <w:rFonts w:hint="eastAsia" w:ascii="宋体" w:hAnsi="宋体"/>
          <w:color w:val="auto"/>
          <w:szCs w:val="22"/>
          <w:highlight w:val="white"/>
        </w:rPr>
        <w:t>（四）成交供应商凭采购代理机构开具的《招标代理服务费缴费通知书》到银行办理缴费手续，凭银行回单原件到采购代理机构开发票，领取《成交通知书》。《成交通知书》将作为授予合同资格的唯一合法依据。</w:t>
      </w:r>
      <w:bookmarkEnd w:id="111"/>
    </w:p>
    <w:p w14:paraId="552595E6">
      <w:pPr>
        <w:widowControl/>
        <w:spacing w:line="360" w:lineRule="auto"/>
        <w:ind w:firstLine="420" w:firstLineChars="200"/>
        <w:jc w:val="left"/>
        <w:rPr>
          <w:rFonts w:ascii="宋体" w:hAnsi="宋体"/>
          <w:color w:val="auto"/>
          <w:szCs w:val="22"/>
          <w:highlight w:val="white"/>
        </w:rPr>
      </w:pPr>
      <w:r>
        <w:rPr>
          <w:rFonts w:hint="eastAsia" w:ascii="宋体" w:hAnsi="宋体"/>
          <w:color w:val="auto"/>
          <w:szCs w:val="22"/>
          <w:highlight w:val="white"/>
        </w:rPr>
        <w:t>（五）成交供应商放弃成交或被确定成交无效的，应当依法承担法律责任，同时，采购人可以按照评审报告推荐的成交供应商候选人名单排序，确定下一候选人为成交供应商，也可以重新开展政府采购活动。</w:t>
      </w:r>
    </w:p>
    <w:p w14:paraId="02E910FE">
      <w:pPr>
        <w:widowControl/>
        <w:tabs>
          <w:tab w:val="left" w:pos="720"/>
        </w:tabs>
        <w:spacing w:line="360" w:lineRule="auto"/>
        <w:ind w:firstLine="420" w:firstLineChars="200"/>
        <w:jc w:val="left"/>
        <w:rPr>
          <w:bCs/>
          <w:color w:val="auto"/>
          <w:szCs w:val="21"/>
        </w:rPr>
      </w:pPr>
      <w:r>
        <w:rPr>
          <w:rFonts w:hint="eastAsia"/>
          <w:bCs/>
          <w:color w:val="auto"/>
          <w:szCs w:val="21"/>
        </w:rPr>
        <w:t>（六）响应供应商必须对报价文件所提供的全部资料的真实性承担法律责任，并无条件接受采购人和政府采购监督管理部门对其中任何资料进行核实（核对原件）的要求。如有必要，采购人将核对报价文件资料，发现有不一致或供应商无正当理由不按时提供原件的，书面知会采购代理机构，并报同级财政部门核实后按成交无效处理。</w:t>
      </w:r>
    </w:p>
    <w:p w14:paraId="72660368">
      <w:pPr>
        <w:widowControl/>
        <w:numPr>
          <w:ilvl w:val="255"/>
          <w:numId w:val="0"/>
        </w:numPr>
        <w:rPr>
          <w:rFonts w:ascii="宋体" w:hAnsi="宋体"/>
          <w:b/>
          <w:color w:val="auto"/>
          <w:szCs w:val="21"/>
        </w:rPr>
      </w:pPr>
      <w:bookmarkStart w:id="112" w:name="_Toc401232236"/>
      <w:bookmarkStart w:id="113" w:name="_Toc199817899"/>
      <w:bookmarkStart w:id="114" w:name="_Toc411005330"/>
      <w:bookmarkStart w:id="115" w:name="_Toc395083529"/>
      <w:bookmarkStart w:id="116" w:name="_Toc199817949"/>
      <w:bookmarkStart w:id="117" w:name="_Toc176852371"/>
      <w:bookmarkStart w:id="118" w:name="_Toc199817982"/>
      <w:r>
        <w:rPr>
          <w:rFonts w:hint="eastAsia" w:ascii="宋体" w:hAnsi="宋体"/>
          <w:b/>
          <w:color w:val="auto"/>
          <w:szCs w:val="21"/>
        </w:rPr>
        <w:t>五、签订合同</w:t>
      </w:r>
      <w:bookmarkEnd w:id="112"/>
      <w:bookmarkEnd w:id="113"/>
      <w:bookmarkEnd w:id="114"/>
      <w:bookmarkEnd w:id="115"/>
      <w:bookmarkEnd w:id="116"/>
      <w:bookmarkEnd w:id="117"/>
      <w:bookmarkEnd w:id="118"/>
    </w:p>
    <w:p w14:paraId="2FC4DD7D">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采购人与成交供应商应当在《成交通知书》发出之日起三十日内（如第二章采购需求有相应约定的从其约定），按照磋商文件确定的事项签订政府采购合同，合同条款不得与磋商文件和报价文件内容有实质性偏离。</w:t>
      </w:r>
    </w:p>
    <w:p w14:paraId="0CF39A9F">
      <w:pPr>
        <w:widowControl/>
        <w:spacing w:line="360" w:lineRule="auto"/>
        <w:rPr>
          <w:rFonts w:ascii="宋体" w:hAnsi="宋体"/>
          <w:color w:val="auto"/>
          <w:szCs w:val="22"/>
          <w:highlight w:val="white"/>
        </w:rPr>
      </w:pPr>
      <w:r>
        <w:rPr>
          <w:rFonts w:hint="eastAsia" w:ascii="宋体" w:hAnsi="宋体"/>
          <w:b/>
          <w:color w:val="auto"/>
          <w:szCs w:val="21"/>
        </w:rPr>
        <w:t>六、凡发现成交供应商有下列行为之一的，其成交无效，并移交政府采购监督管理部门依法处理。</w:t>
      </w:r>
    </w:p>
    <w:p w14:paraId="796DF265">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1）提供虚假材料谋取成交的；</w:t>
      </w:r>
    </w:p>
    <w:p w14:paraId="24026672">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2）采取不正当手段诋毁、排挤其他供应商的；</w:t>
      </w:r>
    </w:p>
    <w:p w14:paraId="48877DC9">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3）与采购人、其他供应商或者采购代理机构工作人员恶意串通的；</w:t>
      </w:r>
    </w:p>
    <w:p w14:paraId="536714AF">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4）向采购人、采购代理机构工作人员行贿或者提供其他不正当利益的；</w:t>
      </w:r>
    </w:p>
    <w:p w14:paraId="50B2316F">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5）在采购过程中与采购人进行协商谈判的；</w:t>
      </w:r>
    </w:p>
    <w:p w14:paraId="275B654A">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6）拒绝有关部门监督检查或者提供虚假情况的；</w:t>
      </w:r>
    </w:p>
    <w:p w14:paraId="7F91150D">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7）有法律、法规规定的其他损害采购人利益和社会公共利益情形的。</w:t>
      </w:r>
    </w:p>
    <w:p w14:paraId="752208A8">
      <w:pPr>
        <w:widowControl/>
        <w:spacing w:line="360" w:lineRule="auto"/>
        <w:rPr>
          <w:rFonts w:ascii="宋体" w:hAnsi="宋体"/>
          <w:color w:val="auto"/>
          <w:szCs w:val="22"/>
          <w:highlight w:val="white"/>
          <w:lang w:val="zh-CN"/>
        </w:rPr>
      </w:pPr>
      <w:bookmarkStart w:id="119" w:name="_Toc199736957"/>
      <w:bookmarkStart w:id="120" w:name="_Toc199736011"/>
      <w:bookmarkStart w:id="121" w:name="_Toc199815439"/>
      <w:bookmarkStart w:id="122" w:name="_Toc395083526"/>
      <w:bookmarkStart w:id="123" w:name="_Toc199735927"/>
      <w:bookmarkStart w:id="124" w:name="_Toc411005328"/>
      <w:bookmarkStart w:id="125" w:name="_Toc401232233"/>
      <w:r>
        <w:rPr>
          <w:rFonts w:hint="eastAsia" w:ascii="宋体" w:hAnsi="宋体"/>
          <w:b/>
          <w:color w:val="auto"/>
          <w:szCs w:val="21"/>
        </w:rPr>
        <w:t>七、项目采购失败</w:t>
      </w:r>
      <w:bookmarkEnd w:id="119"/>
      <w:bookmarkEnd w:id="120"/>
      <w:bookmarkEnd w:id="121"/>
      <w:bookmarkEnd w:id="122"/>
      <w:bookmarkEnd w:id="123"/>
      <w:bookmarkEnd w:id="124"/>
      <w:bookmarkEnd w:id="125"/>
      <w:r>
        <w:rPr>
          <w:rFonts w:hint="eastAsia" w:ascii="宋体" w:hAnsi="宋体"/>
          <w:b/>
          <w:color w:val="auto"/>
          <w:szCs w:val="21"/>
        </w:rPr>
        <w:t>情形</w:t>
      </w:r>
    </w:p>
    <w:p w14:paraId="672310B4">
      <w:pPr>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ascii="宋体" w:hAnsi="宋体" w:cs="JEIUCH+ËÎÌå"/>
          <w:color w:val="auto"/>
          <w:szCs w:val="21"/>
        </w:rPr>
        <w:t>出现下列情形之一的，采购人或者采购代理机构应当终止竞争性磋商采购活动，发布项目终止公告并说明原因，重新开展采购活动：</w:t>
      </w:r>
    </w:p>
    <w:p w14:paraId="3A73BF1B">
      <w:pPr>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ascii="宋体" w:hAnsi="宋体" w:cs="JEIUCH+ËÎÌå"/>
          <w:color w:val="auto"/>
          <w:szCs w:val="21"/>
        </w:rPr>
        <w:t>（</w:t>
      </w:r>
      <w:r>
        <w:rPr>
          <w:rFonts w:ascii="宋体" w:hAnsi="宋体"/>
          <w:color w:val="auto"/>
          <w:szCs w:val="21"/>
        </w:rPr>
        <w:t>1</w:t>
      </w:r>
      <w:r>
        <w:rPr>
          <w:rFonts w:ascii="宋体" w:hAnsi="宋体" w:cs="JEIUCH+ËÎÌå"/>
          <w:color w:val="auto"/>
          <w:szCs w:val="21"/>
        </w:rPr>
        <w:t>）因情况变化，不再符合规定的竞争性磋商采购方式适用情形的；</w:t>
      </w:r>
    </w:p>
    <w:p w14:paraId="7F410D46">
      <w:pPr>
        <w:widowControl/>
        <w:tabs>
          <w:tab w:val="left" w:pos="0"/>
        </w:tabs>
        <w:spacing w:line="360" w:lineRule="auto"/>
        <w:ind w:firstLine="420" w:firstLineChars="200"/>
        <w:rPr>
          <w:rFonts w:ascii="宋体" w:hAnsi="宋体"/>
          <w:color w:val="auto"/>
          <w:szCs w:val="22"/>
          <w:highlight w:val="white"/>
        </w:rPr>
      </w:pPr>
      <w:r>
        <w:rPr>
          <w:rFonts w:ascii="宋体" w:hAnsi="宋体" w:cs="JEIUCH+ËÎÌå"/>
          <w:color w:val="auto"/>
          <w:szCs w:val="21"/>
        </w:rPr>
        <w:t>（</w:t>
      </w:r>
      <w:r>
        <w:rPr>
          <w:rFonts w:ascii="宋体" w:hAnsi="宋体"/>
          <w:color w:val="auto"/>
          <w:szCs w:val="21"/>
        </w:rPr>
        <w:t>2</w:t>
      </w:r>
      <w:r>
        <w:rPr>
          <w:rFonts w:ascii="宋体" w:hAnsi="宋体" w:cs="JEIUCH+ËÎÌå"/>
          <w:color w:val="auto"/>
          <w:szCs w:val="21"/>
        </w:rPr>
        <w:t>）出现影响采购公正的违法、违规行为的</w:t>
      </w:r>
      <w:r>
        <w:rPr>
          <w:rFonts w:hint="eastAsia" w:ascii="宋体" w:hAnsi="宋体" w:cs="JEIUCH+ËÎÌå"/>
          <w:color w:val="auto"/>
          <w:szCs w:val="21"/>
        </w:rPr>
        <w:t>。</w:t>
      </w:r>
    </w:p>
    <w:bookmarkEnd w:id="93"/>
    <w:bookmarkEnd w:id="94"/>
    <w:bookmarkEnd w:id="95"/>
    <w:bookmarkEnd w:id="96"/>
    <w:bookmarkEnd w:id="97"/>
    <w:bookmarkEnd w:id="98"/>
    <w:bookmarkEnd w:id="99"/>
    <w:bookmarkEnd w:id="100"/>
    <w:bookmarkEnd w:id="101"/>
    <w:bookmarkEnd w:id="102"/>
    <w:bookmarkEnd w:id="103"/>
    <w:p w14:paraId="0DDE5C92">
      <w:pPr>
        <w:autoSpaceDE w:val="0"/>
        <w:autoSpaceDN w:val="0"/>
        <w:adjustRightInd w:val="0"/>
        <w:spacing w:line="360" w:lineRule="auto"/>
        <w:ind w:right="678" w:rightChars="323"/>
        <w:jc w:val="left"/>
        <w:rPr>
          <w:rFonts w:ascii="宋体" w:hAnsi="宋体" w:cs="JEIUCH+ËÎÌå"/>
          <w:color w:val="auto"/>
          <w:szCs w:val="21"/>
        </w:rPr>
      </w:pPr>
    </w:p>
    <w:p w14:paraId="7CB9C41D">
      <w:pPr>
        <w:autoSpaceDE w:val="0"/>
        <w:autoSpaceDN w:val="0"/>
        <w:adjustRightInd w:val="0"/>
        <w:spacing w:line="360" w:lineRule="auto"/>
        <w:ind w:right="678" w:rightChars="323"/>
        <w:jc w:val="left"/>
        <w:rPr>
          <w:rFonts w:ascii="宋体" w:hAnsi="宋体" w:cs="JEIUCH+ËÎÌå"/>
          <w:color w:val="auto"/>
          <w:szCs w:val="21"/>
        </w:rPr>
      </w:pPr>
    </w:p>
    <w:p w14:paraId="0D365A5F">
      <w:pPr>
        <w:jc w:val="left"/>
        <w:rPr>
          <w:rFonts w:ascii="宋体" w:hAnsi="宋体" w:cs="JEIUCH+ËÎÌå"/>
          <w:color w:val="auto"/>
          <w:szCs w:val="21"/>
        </w:rPr>
      </w:pPr>
      <w:r>
        <w:rPr>
          <w:rFonts w:ascii="宋体" w:hAnsi="宋体" w:cs="JEIUCH+ËÎÌå"/>
          <w:color w:val="auto"/>
          <w:szCs w:val="21"/>
        </w:rPr>
        <w:br w:type="page"/>
      </w:r>
    </w:p>
    <w:p w14:paraId="2E602C2D">
      <w:pPr>
        <w:pStyle w:val="3"/>
        <w:spacing w:line="240" w:lineRule="auto"/>
        <w:rPr>
          <w:color w:val="auto"/>
        </w:rPr>
      </w:pPr>
      <w:bookmarkStart w:id="126" w:name="_Toc334795480"/>
      <w:r>
        <w:rPr>
          <w:rFonts w:hint="eastAsia"/>
          <w:color w:val="auto"/>
        </w:rPr>
        <w:t>附表一                 资格及符合性审查表</w:t>
      </w:r>
    </w:p>
    <w:tbl>
      <w:tblPr>
        <w:tblStyle w:val="36"/>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1521"/>
        <w:gridCol w:w="1701"/>
        <w:gridCol w:w="1701"/>
      </w:tblGrid>
      <w:tr w14:paraId="60DC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8" w:type="dxa"/>
            <w:vMerge w:val="restart"/>
            <w:vAlign w:val="center"/>
          </w:tcPr>
          <w:p w14:paraId="550AA801">
            <w:pPr>
              <w:jc w:val="center"/>
              <w:rPr>
                <w:rFonts w:ascii="宋体" w:hAnsi="宋体"/>
                <w:color w:val="auto"/>
                <w:szCs w:val="21"/>
              </w:rPr>
            </w:pPr>
            <w:r>
              <w:rPr>
                <w:rFonts w:hint="eastAsia" w:ascii="宋体" w:hAnsi="宋体"/>
                <w:color w:val="auto"/>
                <w:szCs w:val="21"/>
              </w:rPr>
              <w:t>评审内容</w:t>
            </w:r>
          </w:p>
        </w:tc>
        <w:tc>
          <w:tcPr>
            <w:tcW w:w="4923" w:type="dxa"/>
            <w:gridSpan w:val="3"/>
            <w:vAlign w:val="center"/>
          </w:tcPr>
          <w:p w14:paraId="1D62844C">
            <w:pPr>
              <w:jc w:val="center"/>
              <w:rPr>
                <w:rFonts w:ascii="宋体" w:hAnsi="宋体"/>
                <w:color w:val="auto"/>
                <w:szCs w:val="21"/>
              </w:rPr>
            </w:pPr>
            <w:r>
              <w:rPr>
                <w:rFonts w:hint="eastAsia" w:ascii="宋体" w:hAnsi="宋体"/>
                <w:color w:val="auto"/>
                <w:szCs w:val="21"/>
              </w:rPr>
              <w:t>响应供应商名称</w:t>
            </w:r>
          </w:p>
        </w:tc>
      </w:tr>
      <w:tr w14:paraId="5D7B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8" w:type="dxa"/>
            <w:vMerge w:val="continue"/>
            <w:vAlign w:val="center"/>
          </w:tcPr>
          <w:p w14:paraId="4D96A672">
            <w:pPr>
              <w:rPr>
                <w:rFonts w:ascii="宋体" w:hAnsi="宋体"/>
                <w:color w:val="auto"/>
                <w:szCs w:val="21"/>
              </w:rPr>
            </w:pPr>
          </w:p>
        </w:tc>
        <w:tc>
          <w:tcPr>
            <w:tcW w:w="1521" w:type="dxa"/>
            <w:vAlign w:val="center"/>
          </w:tcPr>
          <w:p w14:paraId="1CE22F76">
            <w:pPr>
              <w:jc w:val="center"/>
              <w:rPr>
                <w:rFonts w:ascii="宋体" w:hAnsi="宋体" w:cs="宋体"/>
                <w:color w:val="auto"/>
                <w:szCs w:val="21"/>
              </w:rPr>
            </w:pPr>
            <w:r>
              <w:rPr>
                <w:rFonts w:hint="eastAsia" w:ascii="宋体" w:hAnsi="宋体" w:cs="宋体"/>
                <w:color w:val="auto"/>
                <w:szCs w:val="21"/>
              </w:rPr>
              <w:t>响应供应商</w:t>
            </w:r>
            <w:r>
              <w:rPr>
                <w:rFonts w:ascii="宋体" w:hAnsi="宋体" w:cs="宋体"/>
                <w:color w:val="auto"/>
                <w:szCs w:val="21"/>
              </w:rPr>
              <w:t>A</w:t>
            </w:r>
          </w:p>
        </w:tc>
        <w:tc>
          <w:tcPr>
            <w:tcW w:w="1701" w:type="dxa"/>
            <w:vAlign w:val="center"/>
          </w:tcPr>
          <w:p w14:paraId="516C3C87">
            <w:pPr>
              <w:jc w:val="center"/>
              <w:rPr>
                <w:rFonts w:ascii="宋体" w:hAnsi="宋体" w:cs="宋体"/>
                <w:color w:val="auto"/>
                <w:szCs w:val="21"/>
              </w:rPr>
            </w:pPr>
            <w:r>
              <w:rPr>
                <w:rFonts w:hint="eastAsia" w:ascii="宋体" w:hAnsi="宋体" w:cs="宋体"/>
                <w:color w:val="auto"/>
                <w:szCs w:val="21"/>
              </w:rPr>
              <w:t>响应供应商</w:t>
            </w:r>
            <w:r>
              <w:rPr>
                <w:rFonts w:ascii="宋体" w:hAnsi="宋体" w:cs="宋体"/>
                <w:color w:val="auto"/>
                <w:szCs w:val="21"/>
              </w:rPr>
              <w:t>B</w:t>
            </w:r>
          </w:p>
        </w:tc>
        <w:tc>
          <w:tcPr>
            <w:tcW w:w="1701" w:type="dxa"/>
            <w:vAlign w:val="center"/>
          </w:tcPr>
          <w:p w14:paraId="5A8F3443">
            <w:pPr>
              <w:jc w:val="center"/>
              <w:rPr>
                <w:rFonts w:ascii="宋体" w:hAnsi="宋体" w:cs="宋体"/>
                <w:color w:val="auto"/>
                <w:szCs w:val="21"/>
              </w:rPr>
            </w:pPr>
            <w:r>
              <w:rPr>
                <w:rFonts w:hint="eastAsia" w:ascii="宋体" w:hAnsi="宋体" w:cs="宋体"/>
                <w:color w:val="auto"/>
                <w:szCs w:val="21"/>
              </w:rPr>
              <w:t>响应供应商</w:t>
            </w:r>
            <w:r>
              <w:rPr>
                <w:rFonts w:ascii="宋体" w:hAnsi="宋体" w:cs="宋体"/>
                <w:color w:val="auto"/>
                <w:szCs w:val="21"/>
              </w:rPr>
              <w:t>C</w:t>
            </w:r>
          </w:p>
        </w:tc>
      </w:tr>
      <w:tr w14:paraId="1E68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608" w:type="dxa"/>
            <w:vAlign w:val="center"/>
          </w:tcPr>
          <w:p w14:paraId="59851C4B">
            <w:pPr>
              <w:rPr>
                <w:rFonts w:ascii="宋体" w:hAnsi="宋体"/>
                <w:color w:val="auto"/>
                <w:szCs w:val="21"/>
              </w:rPr>
            </w:pPr>
            <w:r>
              <w:rPr>
                <w:rFonts w:hint="eastAsia" w:ascii="宋体" w:hAnsi="宋体"/>
                <w:color w:val="auto"/>
                <w:szCs w:val="21"/>
              </w:rPr>
              <w:t>具备磋商文件中规定响应供应商资格要求</w:t>
            </w:r>
          </w:p>
        </w:tc>
        <w:tc>
          <w:tcPr>
            <w:tcW w:w="1521" w:type="dxa"/>
            <w:vAlign w:val="center"/>
          </w:tcPr>
          <w:p w14:paraId="7D2BACE7">
            <w:pPr>
              <w:rPr>
                <w:rFonts w:ascii="宋体" w:hAnsi="宋体"/>
                <w:color w:val="auto"/>
                <w:szCs w:val="21"/>
              </w:rPr>
            </w:pPr>
          </w:p>
        </w:tc>
        <w:tc>
          <w:tcPr>
            <w:tcW w:w="1701" w:type="dxa"/>
            <w:vAlign w:val="center"/>
          </w:tcPr>
          <w:p w14:paraId="002E29A6">
            <w:pPr>
              <w:rPr>
                <w:rFonts w:ascii="宋体" w:hAnsi="宋体"/>
                <w:color w:val="auto"/>
                <w:szCs w:val="21"/>
              </w:rPr>
            </w:pPr>
          </w:p>
        </w:tc>
        <w:tc>
          <w:tcPr>
            <w:tcW w:w="1701" w:type="dxa"/>
            <w:vAlign w:val="center"/>
          </w:tcPr>
          <w:p w14:paraId="592C6430">
            <w:pPr>
              <w:rPr>
                <w:rFonts w:ascii="宋体" w:hAnsi="宋体"/>
                <w:color w:val="auto"/>
                <w:szCs w:val="21"/>
              </w:rPr>
            </w:pPr>
          </w:p>
        </w:tc>
      </w:tr>
      <w:tr w14:paraId="5AAC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608" w:type="dxa"/>
            <w:vAlign w:val="center"/>
          </w:tcPr>
          <w:p w14:paraId="2E285FD0">
            <w:pPr>
              <w:rPr>
                <w:rFonts w:ascii="宋体" w:hAnsi="宋体"/>
                <w:color w:val="auto"/>
                <w:szCs w:val="21"/>
              </w:rPr>
            </w:pPr>
            <w:r>
              <w:rPr>
                <w:rFonts w:hint="eastAsia" w:ascii="宋体" w:hAnsi="宋体"/>
                <w:color w:val="auto"/>
                <w:szCs w:val="21"/>
              </w:rPr>
              <w:t>首次报价唯一，不高于采购人需求规定的最高限价</w:t>
            </w:r>
          </w:p>
        </w:tc>
        <w:tc>
          <w:tcPr>
            <w:tcW w:w="1521" w:type="dxa"/>
            <w:vAlign w:val="center"/>
          </w:tcPr>
          <w:p w14:paraId="18196314">
            <w:pPr>
              <w:rPr>
                <w:rFonts w:ascii="宋体" w:hAnsi="宋体"/>
                <w:color w:val="auto"/>
                <w:szCs w:val="21"/>
              </w:rPr>
            </w:pPr>
          </w:p>
        </w:tc>
        <w:tc>
          <w:tcPr>
            <w:tcW w:w="1701" w:type="dxa"/>
            <w:vAlign w:val="center"/>
          </w:tcPr>
          <w:p w14:paraId="6CBB66B2">
            <w:pPr>
              <w:rPr>
                <w:rFonts w:ascii="宋体" w:hAnsi="宋体"/>
                <w:color w:val="auto"/>
                <w:szCs w:val="21"/>
              </w:rPr>
            </w:pPr>
          </w:p>
        </w:tc>
        <w:tc>
          <w:tcPr>
            <w:tcW w:w="1701" w:type="dxa"/>
            <w:vAlign w:val="center"/>
          </w:tcPr>
          <w:p w14:paraId="38A5E8B2">
            <w:pPr>
              <w:rPr>
                <w:rFonts w:ascii="宋体" w:hAnsi="宋体"/>
                <w:color w:val="auto"/>
                <w:szCs w:val="21"/>
              </w:rPr>
            </w:pPr>
          </w:p>
        </w:tc>
      </w:tr>
      <w:tr w14:paraId="2614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608" w:type="dxa"/>
            <w:vAlign w:val="center"/>
          </w:tcPr>
          <w:p w14:paraId="6DD5B296">
            <w:pPr>
              <w:rPr>
                <w:rFonts w:ascii="宋体" w:hAnsi="宋体"/>
                <w:color w:val="auto"/>
                <w:szCs w:val="21"/>
              </w:rPr>
            </w:pPr>
            <w:r>
              <w:rPr>
                <w:rFonts w:hint="eastAsia" w:ascii="宋体" w:hAnsi="宋体"/>
                <w:color w:val="auto"/>
                <w:szCs w:val="21"/>
              </w:rPr>
              <w:t>符合磋商文件的签署、盖章要求</w:t>
            </w:r>
          </w:p>
        </w:tc>
        <w:tc>
          <w:tcPr>
            <w:tcW w:w="1521" w:type="dxa"/>
            <w:vAlign w:val="center"/>
          </w:tcPr>
          <w:p w14:paraId="402643B1">
            <w:pPr>
              <w:rPr>
                <w:rFonts w:ascii="宋体" w:hAnsi="宋体"/>
                <w:color w:val="auto"/>
                <w:szCs w:val="21"/>
              </w:rPr>
            </w:pPr>
          </w:p>
        </w:tc>
        <w:tc>
          <w:tcPr>
            <w:tcW w:w="1701" w:type="dxa"/>
            <w:vAlign w:val="center"/>
          </w:tcPr>
          <w:p w14:paraId="4581C2F5">
            <w:pPr>
              <w:rPr>
                <w:rFonts w:ascii="宋体" w:hAnsi="宋体"/>
                <w:color w:val="auto"/>
                <w:szCs w:val="21"/>
              </w:rPr>
            </w:pPr>
          </w:p>
        </w:tc>
        <w:tc>
          <w:tcPr>
            <w:tcW w:w="1701" w:type="dxa"/>
            <w:vAlign w:val="center"/>
          </w:tcPr>
          <w:p w14:paraId="2F91F571">
            <w:pPr>
              <w:rPr>
                <w:rFonts w:ascii="宋体" w:hAnsi="宋体"/>
                <w:color w:val="auto"/>
                <w:szCs w:val="21"/>
              </w:rPr>
            </w:pPr>
          </w:p>
        </w:tc>
      </w:tr>
      <w:tr w14:paraId="0A11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608" w:type="dxa"/>
            <w:vAlign w:val="center"/>
          </w:tcPr>
          <w:p w14:paraId="595883C0">
            <w:pPr>
              <w:rPr>
                <w:rFonts w:ascii="宋体" w:hAnsi="宋体"/>
                <w:color w:val="auto"/>
                <w:szCs w:val="21"/>
              </w:rPr>
            </w:pPr>
            <w:r>
              <w:rPr>
                <w:rFonts w:hint="eastAsia" w:ascii="宋体" w:hAnsi="宋体"/>
                <w:color w:val="auto"/>
                <w:szCs w:val="21"/>
              </w:rPr>
              <w:t>按磋商文件要求提供</w:t>
            </w:r>
            <w:r>
              <w:rPr>
                <w:rFonts w:ascii="宋体" w:hAnsi="宋体"/>
                <w:color w:val="auto"/>
                <w:szCs w:val="21"/>
              </w:rPr>
              <w:t>法定代表人证明</w:t>
            </w:r>
            <w:r>
              <w:rPr>
                <w:rFonts w:hint="eastAsia" w:ascii="宋体" w:hAnsi="宋体"/>
                <w:color w:val="auto"/>
                <w:szCs w:val="21"/>
              </w:rPr>
              <w:t>及授</w:t>
            </w:r>
            <w:r>
              <w:rPr>
                <w:rFonts w:ascii="宋体" w:hAnsi="宋体"/>
                <w:color w:val="auto"/>
                <w:szCs w:val="21"/>
              </w:rPr>
              <w:t>权书</w:t>
            </w:r>
            <w:r>
              <w:rPr>
                <w:rFonts w:hint="eastAsia" w:ascii="宋体" w:hAnsi="宋体"/>
                <w:color w:val="auto"/>
                <w:szCs w:val="21"/>
              </w:rPr>
              <w:t>的</w:t>
            </w:r>
          </w:p>
        </w:tc>
        <w:tc>
          <w:tcPr>
            <w:tcW w:w="1521" w:type="dxa"/>
            <w:vAlign w:val="center"/>
          </w:tcPr>
          <w:p w14:paraId="2D8F26DB">
            <w:pPr>
              <w:rPr>
                <w:rFonts w:ascii="宋体" w:hAnsi="宋体"/>
                <w:color w:val="auto"/>
                <w:szCs w:val="21"/>
              </w:rPr>
            </w:pPr>
          </w:p>
        </w:tc>
        <w:tc>
          <w:tcPr>
            <w:tcW w:w="1701" w:type="dxa"/>
            <w:vAlign w:val="center"/>
          </w:tcPr>
          <w:p w14:paraId="14304356">
            <w:pPr>
              <w:rPr>
                <w:rFonts w:ascii="宋体" w:hAnsi="宋体"/>
                <w:color w:val="auto"/>
                <w:szCs w:val="21"/>
              </w:rPr>
            </w:pPr>
          </w:p>
        </w:tc>
        <w:tc>
          <w:tcPr>
            <w:tcW w:w="1701" w:type="dxa"/>
            <w:vAlign w:val="center"/>
          </w:tcPr>
          <w:p w14:paraId="549926F3">
            <w:pPr>
              <w:rPr>
                <w:rFonts w:ascii="宋体" w:hAnsi="宋体"/>
                <w:color w:val="auto"/>
                <w:szCs w:val="21"/>
              </w:rPr>
            </w:pPr>
          </w:p>
        </w:tc>
      </w:tr>
      <w:tr w14:paraId="7EB5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08" w:type="dxa"/>
            <w:vAlign w:val="center"/>
          </w:tcPr>
          <w:p w14:paraId="576CA367">
            <w:pPr>
              <w:rPr>
                <w:rFonts w:ascii="宋体" w:hAnsi="宋体"/>
                <w:color w:val="auto"/>
                <w:szCs w:val="21"/>
              </w:rPr>
            </w:pPr>
            <w:r>
              <w:rPr>
                <w:rFonts w:hint="eastAsia" w:ascii="宋体" w:hAnsi="宋体"/>
                <w:color w:val="auto"/>
                <w:szCs w:val="21"/>
              </w:rPr>
              <w:t>符合磋商文件报价有效期要求的</w:t>
            </w:r>
          </w:p>
        </w:tc>
        <w:tc>
          <w:tcPr>
            <w:tcW w:w="1521" w:type="dxa"/>
            <w:vAlign w:val="center"/>
          </w:tcPr>
          <w:p w14:paraId="6563EEF4">
            <w:pPr>
              <w:rPr>
                <w:rFonts w:ascii="宋体" w:hAnsi="宋体"/>
                <w:color w:val="auto"/>
                <w:szCs w:val="21"/>
              </w:rPr>
            </w:pPr>
          </w:p>
        </w:tc>
        <w:tc>
          <w:tcPr>
            <w:tcW w:w="1701" w:type="dxa"/>
            <w:vAlign w:val="center"/>
          </w:tcPr>
          <w:p w14:paraId="609A7959">
            <w:pPr>
              <w:rPr>
                <w:rFonts w:ascii="宋体" w:hAnsi="宋体"/>
                <w:color w:val="auto"/>
                <w:szCs w:val="21"/>
              </w:rPr>
            </w:pPr>
          </w:p>
        </w:tc>
        <w:tc>
          <w:tcPr>
            <w:tcW w:w="1701" w:type="dxa"/>
            <w:vAlign w:val="center"/>
          </w:tcPr>
          <w:p w14:paraId="0AE69E6D">
            <w:pPr>
              <w:rPr>
                <w:rFonts w:ascii="宋体" w:hAnsi="宋体"/>
                <w:color w:val="auto"/>
                <w:szCs w:val="21"/>
              </w:rPr>
            </w:pPr>
          </w:p>
        </w:tc>
      </w:tr>
      <w:tr w14:paraId="268D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08" w:type="dxa"/>
            <w:vAlign w:val="center"/>
          </w:tcPr>
          <w:p w14:paraId="663FF12C">
            <w:pPr>
              <w:rPr>
                <w:rFonts w:ascii="宋体" w:hAnsi="宋体"/>
                <w:color w:val="auto"/>
                <w:szCs w:val="21"/>
              </w:rPr>
            </w:pPr>
            <w:r>
              <w:rPr>
                <w:rFonts w:hint="eastAsia" w:ascii="宋体" w:hAnsi="宋体"/>
                <w:color w:val="auto"/>
                <w:szCs w:val="21"/>
              </w:rPr>
              <w:t>满足磋商文件中带★号的条款和指标的</w:t>
            </w:r>
          </w:p>
        </w:tc>
        <w:tc>
          <w:tcPr>
            <w:tcW w:w="1521" w:type="dxa"/>
            <w:vAlign w:val="center"/>
          </w:tcPr>
          <w:p w14:paraId="10994135">
            <w:pPr>
              <w:rPr>
                <w:rFonts w:ascii="宋体" w:hAnsi="宋体"/>
                <w:color w:val="auto"/>
                <w:szCs w:val="21"/>
              </w:rPr>
            </w:pPr>
          </w:p>
        </w:tc>
        <w:tc>
          <w:tcPr>
            <w:tcW w:w="1701" w:type="dxa"/>
            <w:vAlign w:val="center"/>
          </w:tcPr>
          <w:p w14:paraId="747B5E22">
            <w:pPr>
              <w:rPr>
                <w:rFonts w:ascii="宋体" w:hAnsi="宋体"/>
                <w:color w:val="auto"/>
                <w:szCs w:val="21"/>
              </w:rPr>
            </w:pPr>
          </w:p>
        </w:tc>
        <w:tc>
          <w:tcPr>
            <w:tcW w:w="1701" w:type="dxa"/>
            <w:vAlign w:val="center"/>
          </w:tcPr>
          <w:p w14:paraId="04380DEC">
            <w:pPr>
              <w:rPr>
                <w:rFonts w:ascii="宋体" w:hAnsi="宋体"/>
                <w:color w:val="auto"/>
                <w:szCs w:val="21"/>
              </w:rPr>
            </w:pPr>
          </w:p>
        </w:tc>
      </w:tr>
      <w:tr w14:paraId="6045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08" w:type="dxa"/>
            <w:vAlign w:val="center"/>
          </w:tcPr>
          <w:p w14:paraId="11DDA2F1">
            <w:pPr>
              <w:rPr>
                <w:rFonts w:ascii="宋体" w:hAnsi="宋体"/>
                <w:color w:val="auto"/>
                <w:szCs w:val="21"/>
              </w:rPr>
            </w:pPr>
            <w:r>
              <w:rPr>
                <w:rFonts w:hint="eastAsia" w:ascii="宋体" w:hAnsi="宋体"/>
                <w:color w:val="auto"/>
                <w:szCs w:val="21"/>
              </w:rPr>
              <w:t>未发现无效报价的其他情形的（见注4）</w:t>
            </w:r>
          </w:p>
        </w:tc>
        <w:tc>
          <w:tcPr>
            <w:tcW w:w="1521" w:type="dxa"/>
            <w:vAlign w:val="center"/>
          </w:tcPr>
          <w:p w14:paraId="3575F581">
            <w:pPr>
              <w:rPr>
                <w:rFonts w:ascii="宋体" w:hAnsi="宋体"/>
                <w:color w:val="auto"/>
                <w:szCs w:val="21"/>
              </w:rPr>
            </w:pPr>
          </w:p>
        </w:tc>
        <w:tc>
          <w:tcPr>
            <w:tcW w:w="1701" w:type="dxa"/>
            <w:vAlign w:val="center"/>
          </w:tcPr>
          <w:p w14:paraId="51E36A3A">
            <w:pPr>
              <w:rPr>
                <w:rFonts w:ascii="宋体" w:hAnsi="宋体"/>
                <w:color w:val="auto"/>
                <w:szCs w:val="21"/>
              </w:rPr>
            </w:pPr>
          </w:p>
        </w:tc>
        <w:tc>
          <w:tcPr>
            <w:tcW w:w="1701" w:type="dxa"/>
            <w:vAlign w:val="center"/>
          </w:tcPr>
          <w:p w14:paraId="5B31DC54">
            <w:pPr>
              <w:rPr>
                <w:rFonts w:ascii="宋体" w:hAnsi="宋体"/>
                <w:color w:val="auto"/>
                <w:szCs w:val="21"/>
              </w:rPr>
            </w:pPr>
          </w:p>
        </w:tc>
      </w:tr>
      <w:tr w14:paraId="663E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608" w:type="dxa"/>
            <w:vAlign w:val="center"/>
          </w:tcPr>
          <w:p w14:paraId="14B02FDB">
            <w:pPr>
              <w:jc w:val="center"/>
              <w:rPr>
                <w:rFonts w:ascii="宋体" w:hAnsi="宋体"/>
                <w:color w:val="auto"/>
                <w:szCs w:val="21"/>
              </w:rPr>
            </w:pPr>
            <w:r>
              <w:rPr>
                <w:rFonts w:hint="eastAsia" w:ascii="宋体" w:hAnsi="宋体"/>
                <w:color w:val="auto"/>
                <w:szCs w:val="21"/>
              </w:rPr>
              <w:t>结论</w:t>
            </w:r>
          </w:p>
        </w:tc>
        <w:tc>
          <w:tcPr>
            <w:tcW w:w="1521" w:type="dxa"/>
            <w:vAlign w:val="center"/>
          </w:tcPr>
          <w:p w14:paraId="55633391">
            <w:pPr>
              <w:rPr>
                <w:rFonts w:ascii="宋体" w:hAnsi="宋体"/>
                <w:color w:val="auto"/>
                <w:szCs w:val="21"/>
              </w:rPr>
            </w:pPr>
          </w:p>
        </w:tc>
        <w:tc>
          <w:tcPr>
            <w:tcW w:w="1701" w:type="dxa"/>
            <w:vAlign w:val="center"/>
          </w:tcPr>
          <w:p w14:paraId="147D893C">
            <w:pPr>
              <w:rPr>
                <w:rFonts w:ascii="宋体" w:hAnsi="宋体"/>
                <w:color w:val="auto"/>
                <w:szCs w:val="21"/>
              </w:rPr>
            </w:pPr>
          </w:p>
        </w:tc>
        <w:tc>
          <w:tcPr>
            <w:tcW w:w="1701" w:type="dxa"/>
            <w:vAlign w:val="center"/>
          </w:tcPr>
          <w:p w14:paraId="15BBCADB">
            <w:pPr>
              <w:rPr>
                <w:rFonts w:ascii="宋体" w:hAnsi="宋体"/>
                <w:color w:val="auto"/>
                <w:szCs w:val="21"/>
              </w:rPr>
            </w:pPr>
          </w:p>
        </w:tc>
      </w:tr>
      <w:bookmarkEnd w:id="126"/>
    </w:tbl>
    <w:p w14:paraId="18D1F3CB">
      <w:pPr>
        <w:rPr>
          <w:rFonts w:ascii="宋体" w:hAnsi="宋体"/>
          <w:color w:val="auto"/>
          <w:szCs w:val="21"/>
        </w:rPr>
      </w:pPr>
      <w:r>
        <w:rPr>
          <w:rFonts w:hint="eastAsia" w:ascii="宋体" w:hAnsi="宋体"/>
          <w:color w:val="auto"/>
          <w:szCs w:val="21"/>
        </w:rPr>
        <w:t>注：1、响应供应商</w:t>
      </w:r>
      <w:r>
        <w:rPr>
          <w:rFonts w:ascii="宋体" w:hAnsi="宋体"/>
          <w:color w:val="auto"/>
          <w:szCs w:val="21"/>
        </w:rPr>
        <w:t>分栏中填写“</w:t>
      </w:r>
      <w:r>
        <w:rPr>
          <w:rFonts w:hint="eastAsia" w:ascii="宋体" w:hAnsi="宋体"/>
          <w:color w:val="auto"/>
          <w:szCs w:val="21"/>
        </w:rPr>
        <w:t>○</w:t>
      </w:r>
      <w:r>
        <w:rPr>
          <w:rFonts w:ascii="宋体" w:hAnsi="宋体"/>
          <w:color w:val="auto"/>
          <w:szCs w:val="21"/>
        </w:rPr>
        <w:t>”表示该项符合</w:t>
      </w:r>
      <w:r>
        <w:rPr>
          <w:rFonts w:hint="eastAsia" w:ascii="宋体" w:hAnsi="宋体"/>
          <w:color w:val="auto"/>
          <w:szCs w:val="21"/>
        </w:rPr>
        <w:t>磋商文件</w:t>
      </w:r>
      <w:r>
        <w:rPr>
          <w:rFonts w:ascii="宋体" w:hAnsi="宋体"/>
          <w:color w:val="auto"/>
          <w:szCs w:val="21"/>
        </w:rPr>
        <w:t>要求，“×”表示该项不符合</w:t>
      </w:r>
      <w:r>
        <w:rPr>
          <w:rFonts w:hint="eastAsia" w:ascii="宋体" w:hAnsi="宋体"/>
          <w:color w:val="auto"/>
          <w:szCs w:val="21"/>
        </w:rPr>
        <w:t>磋商文件</w:t>
      </w:r>
      <w:r>
        <w:rPr>
          <w:rFonts w:ascii="宋体" w:hAnsi="宋体"/>
          <w:color w:val="auto"/>
          <w:szCs w:val="21"/>
        </w:rPr>
        <w:t>要求；</w:t>
      </w:r>
    </w:p>
    <w:p w14:paraId="52FB08AA">
      <w:pPr>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结论栏中填写“</w:t>
      </w:r>
      <w:r>
        <w:rPr>
          <w:rFonts w:hint="eastAsia" w:ascii="宋体" w:hAnsi="宋体"/>
          <w:color w:val="auto"/>
          <w:szCs w:val="21"/>
        </w:rPr>
        <w:t>通过</w:t>
      </w:r>
      <w:r>
        <w:rPr>
          <w:rFonts w:ascii="宋体" w:hAnsi="宋体"/>
          <w:color w:val="auto"/>
          <w:szCs w:val="21"/>
        </w:rPr>
        <w:t>”表示该</w:t>
      </w:r>
      <w:r>
        <w:rPr>
          <w:rFonts w:hint="eastAsia" w:ascii="宋体" w:hAnsi="宋体"/>
          <w:color w:val="auto"/>
          <w:szCs w:val="21"/>
        </w:rPr>
        <w:t>响应供应商报价</w:t>
      </w:r>
      <w:r>
        <w:rPr>
          <w:rFonts w:ascii="宋体" w:hAnsi="宋体"/>
          <w:color w:val="auto"/>
          <w:szCs w:val="21"/>
        </w:rPr>
        <w:t>文件符合</w:t>
      </w:r>
      <w:r>
        <w:rPr>
          <w:rFonts w:hint="eastAsia" w:ascii="宋体" w:hAnsi="宋体"/>
          <w:color w:val="auto"/>
          <w:szCs w:val="21"/>
        </w:rPr>
        <w:t>磋商文件</w:t>
      </w:r>
      <w:r>
        <w:rPr>
          <w:rFonts w:ascii="宋体" w:hAnsi="宋体"/>
          <w:color w:val="auto"/>
          <w:szCs w:val="21"/>
        </w:rPr>
        <w:t>要求，“</w:t>
      </w:r>
      <w:r>
        <w:rPr>
          <w:rFonts w:hint="eastAsia" w:ascii="宋体" w:hAnsi="宋体"/>
          <w:color w:val="auto"/>
          <w:szCs w:val="21"/>
        </w:rPr>
        <w:t>不通过</w:t>
      </w:r>
      <w:r>
        <w:rPr>
          <w:rFonts w:ascii="宋体" w:hAnsi="宋体"/>
          <w:color w:val="auto"/>
          <w:szCs w:val="21"/>
        </w:rPr>
        <w:t>”表示该</w:t>
      </w:r>
      <w:r>
        <w:rPr>
          <w:rFonts w:hint="eastAsia" w:ascii="宋体" w:hAnsi="宋体"/>
          <w:color w:val="auto"/>
          <w:szCs w:val="21"/>
        </w:rPr>
        <w:t>响应供应商报价</w:t>
      </w:r>
      <w:r>
        <w:rPr>
          <w:rFonts w:ascii="宋体" w:hAnsi="宋体"/>
          <w:color w:val="auto"/>
          <w:szCs w:val="21"/>
        </w:rPr>
        <w:t>文件不符合文件要求</w:t>
      </w:r>
      <w:r>
        <w:rPr>
          <w:rFonts w:hint="eastAsia" w:ascii="宋体" w:hAnsi="宋体"/>
          <w:color w:val="auto"/>
          <w:szCs w:val="21"/>
        </w:rPr>
        <w:t>；</w:t>
      </w:r>
    </w:p>
    <w:p w14:paraId="1C524D9E">
      <w:pPr>
        <w:ind w:firstLine="420" w:firstLineChars="200"/>
        <w:rPr>
          <w:rFonts w:ascii="宋体" w:hAnsi="宋体"/>
          <w:color w:val="auto"/>
          <w:szCs w:val="21"/>
        </w:rPr>
      </w:pPr>
      <w:r>
        <w:rPr>
          <w:rFonts w:hint="eastAsia" w:ascii="宋体" w:hAnsi="宋体"/>
          <w:color w:val="auto"/>
          <w:szCs w:val="21"/>
        </w:rPr>
        <w:t>3、结论汇总意见采取少数服从多数原则，即超过半数磋商小组成员的结论为“通过”则该响应供应商通过</w:t>
      </w:r>
      <w:r>
        <w:rPr>
          <w:rFonts w:ascii="宋体" w:hAnsi="宋体"/>
          <w:color w:val="auto"/>
          <w:szCs w:val="21"/>
        </w:rPr>
        <w:t>资格审查及符合性检查</w:t>
      </w:r>
      <w:r>
        <w:rPr>
          <w:rFonts w:hint="eastAsia" w:ascii="宋体" w:hAnsi="宋体"/>
          <w:color w:val="auto"/>
          <w:szCs w:val="21"/>
        </w:rPr>
        <w:t>，否则不通过。</w:t>
      </w:r>
    </w:p>
    <w:p w14:paraId="1F865BC7">
      <w:pPr>
        <w:ind w:firstLine="420" w:firstLineChars="200"/>
        <w:rPr>
          <w:rFonts w:ascii="宋体" w:hAnsi="宋体"/>
          <w:color w:val="auto"/>
          <w:szCs w:val="21"/>
        </w:rPr>
      </w:pPr>
      <w:r>
        <w:rPr>
          <w:rFonts w:hint="eastAsia" w:ascii="宋体" w:hAnsi="宋体"/>
          <w:color w:val="auto"/>
          <w:szCs w:val="21"/>
        </w:rPr>
        <w:t>4、无效报价的其他情形</w:t>
      </w:r>
    </w:p>
    <w:p w14:paraId="6473AF5F">
      <w:pPr>
        <w:widowControl/>
        <w:rPr>
          <w:rFonts w:ascii="宋体" w:hAnsi="宋体"/>
          <w:color w:val="auto"/>
          <w:szCs w:val="21"/>
        </w:rPr>
      </w:pPr>
      <w:r>
        <w:rPr>
          <w:rFonts w:hint="eastAsia" w:ascii="宋体" w:hAnsi="宋体"/>
          <w:color w:val="auto"/>
          <w:szCs w:val="21"/>
        </w:rPr>
        <w:t>（1）</w:t>
      </w:r>
      <w:r>
        <w:rPr>
          <w:rFonts w:hint="eastAsia" w:ascii="宋体" w:hAnsi="宋体"/>
          <w:color w:val="auto"/>
          <w:szCs w:val="21"/>
          <w:highlight w:val="white"/>
        </w:rPr>
        <w:t>除联合体外，法定代表人或单位负责人为同一个人或者存在直接控股、管理关系的不同供应商，同时参加本项目或同一子项目报价的。</w:t>
      </w:r>
    </w:p>
    <w:p w14:paraId="1B3C08E4">
      <w:pPr>
        <w:widowControl/>
        <w:rPr>
          <w:rFonts w:ascii="宋体" w:hAnsi="宋体"/>
          <w:color w:val="auto"/>
          <w:szCs w:val="21"/>
        </w:rPr>
      </w:pPr>
      <w:r>
        <w:rPr>
          <w:rFonts w:hint="eastAsia" w:ascii="宋体" w:hAnsi="宋体"/>
          <w:color w:val="auto"/>
          <w:szCs w:val="21"/>
        </w:rPr>
        <w:t>（2）经磋商小组认定报价文件提供虚假材料的；</w:t>
      </w:r>
    </w:p>
    <w:p w14:paraId="71AFC4EA">
      <w:pPr>
        <w:widowControl/>
        <w:rPr>
          <w:rFonts w:ascii="宋体" w:hAnsi="宋体"/>
          <w:color w:val="auto"/>
          <w:szCs w:val="21"/>
        </w:rPr>
      </w:pPr>
      <w:r>
        <w:rPr>
          <w:rFonts w:hint="eastAsia" w:ascii="宋体" w:hAnsi="宋体"/>
          <w:color w:val="auto"/>
          <w:szCs w:val="21"/>
        </w:rPr>
        <w:t>（3）响应供应商以他人的名义报价、串通报价、以行贿手段谋取成交或者以其他弄虚作假方式报价的；</w:t>
      </w:r>
    </w:p>
    <w:p w14:paraId="43D57829">
      <w:pPr>
        <w:widowControl/>
        <w:rPr>
          <w:rFonts w:ascii="宋体" w:hAnsi="宋体"/>
          <w:color w:val="auto"/>
          <w:szCs w:val="21"/>
        </w:rPr>
      </w:pPr>
      <w:r>
        <w:rPr>
          <w:rFonts w:hint="eastAsia" w:ascii="宋体" w:hAnsi="宋体"/>
          <w:color w:val="auto"/>
          <w:szCs w:val="21"/>
        </w:rPr>
        <w:t>（4）响应供应商对采购人、采购代理机构、磋商小组及其工作人员施加影响，有碍采购公平、公正的；</w:t>
      </w:r>
    </w:p>
    <w:p w14:paraId="61DF8354">
      <w:pPr>
        <w:rPr>
          <w:rFonts w:ascii="宋体" w:hAnsi="宋体"/>
          <w:color w:val="auto"/>
          <w:szCs w:val="21"/>
        </w:rPr>
      </w:pPr>
      <w:r>
        <w:rPr>
          <w:rFonts w:hint="eastAsia" w:ascii="宋体" w:hAnsi="宋体"/>
          <w:color w:val="auto"/>
          <w:szCs w:val="21"/>
        </w:rPr>
        <w:t>（5）报价文件</w:t>
      </w:r>
      <w:r>
        <w:rPr>
          <w:rFonts w:ascii="宋体" w:hAnsi="宋体"/>
          <w:color w:val="auto"/>
          <w:szCs w:val="21"/>
        </w:rPr>
        <w:t>附有采购人不能接受的条件；</w:t>
      </w:r>
    </w:p>
    <w:p w14:paraId="7364526C">
      <w:pPr>
        <w:spacing w:line="400" w:lineRule="exact"/>
        <w:ind w:right="678" w:rightChars="323"/>
        <w:rPr>
          <w:rFonts w:ascii="宋体" w:hAnsi="宋体"/>
          <w:color w:val="auto"/>
          <w:szCs w:val="21"/>
        </w:rPr>
      </w:pPr>
      <w:r>
        <w:rPr>
          <w:rFonts w:hint="eastAsia" w:ascii="宋体" w:hAnsi="宋体"/>
          <w:color w:val="auto"/>
          <w:szCs w:val="21"/>
        </w:rPr>
        <w:t>（6）出现不符合相关法律、法规要求的情况的。</w:t>
      </w:r>
    </w:p>
    <w:p w14:paraId="6F463B22">
      <w:pPr>
        <w:spacing w:line="400" w:lineRule="exact"/>
        <w:ind w:right="678" w:rightChars="323"/>
        <w:rPr>
          <w:rFonts w:ascii="宋体" w:hAnsi="宋体"/>
          <w:color w:val="auto"/>
          <w:szCs w:val="21"/>
        </w:rPr>
      </w:pPr>
    </w:p>
    <w:p w14:paraId="58DC59F6">
      <w:pPr>
        <w:rPr>
          <w:rFonts w:ascii="宋体" w:hAnsi="宋体"/>
          <w:color w:val="auto"/>
          <w:szCs w:val="21"/>
        </w:rPr>
      </w:pPr>
      <w:r>
        <w:rPr>
          <w:rFonts w:ascii="宋体" w:hAnsi="宋体"/>
          <w:color w:val="auto"/>
          <w:szCs w:val="21"/>
        </w:rPr>
        <w:br w:type="page"/>
      </w:r>
    </w:p>
    <w:p w14:paraId="6C330C04">
      <w:pPr>
        <w:rPr>
          <w:rFonts w:ascii="宋体" w:hAnsi="宋体"/>
          <w:b/>
          <w:color w:val="auto"/>
          <w:sz w:val="30"/>
        </w:rPr>
      </w:pPr>
      <w:r>
        <w:rPr>
          <w:rFonts w:hint="eastAsia" w:ascii="宋体" w:hAnsi="宋体"/>
          <w:b/>
          <w:color w:val="auto"/>
          <w:sz w:val="30"/>
        </w:rPr>
        <w:t xml:space="preserve">附表二 </w:t>
      </w:r>
      <w:r>
        <w:rPr>
          <w:rFonts w:hint="eastAsia" w:ascii="Arial" w:hAnsi="Arial" w:eastAsia="黑体"/>
          <w:b/>
          <w:bCs/>
          <w:color w:val="auto"/>
          <w:sz w:val="32"/>
          <w:szCs w:val="32"/>
        </w:rPr>
        <w:t xml:space="preserve">               </w:t>
      </w:r>
      <w:r>
        <w:rPr>
          <w:rFonts w:hint="eastAsia" w:ascii="宋体" w:hAnsi="宋体"/>
          <w:b/>
          <w:color w:val="auto"/>
          <w:sz w:val="30"/>
        </w:rPr>
        <w:t xml:space="preserve"> 商务评审表</w:t>
      </w:r>
    </w:p>
    <w:tbl>
      <w:tblPr>
        <w:tblStyle w:val="36"/>
        <w:tblW w:w="95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119"/>
        <w:gridCol w:w="727"/>
        <w:gridCol w:w="7017"/>
      </w:tblGrid>
      <w:tr w14:paraId="5C906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55" w:type="dxa"/>
            <w:vAlign w:val="center"/>
          </w:tcPr>
          <w:p w14:paraId="6BA2C18F">
            <w:pPr>
              <w:jc w:val="center"/>
              <w:rPr>
                <w:rFonts w:ascii="宋体" w:hAnsi="宋体"/>
                <w:b/>
                <w:bCs/>
                <w:color w:val="auto"/>
                <w:szCs w:val="21"/>
              </w:rPr>
            </w:pPr>
            <w:r>
              <w:rPr>
                <w:rFonts w:hint="eastAsia" w:ascii="宋体" w:hAnsi="宋体"/>
                <w:b/>
                <w:bCs/>
                <w:color w:val="auto"/>
                <w:szCs w:val="21"/>
              </w:rPr>
              <w:t>序号</w:t>
            </w:r>
          </w:p>
        </w:tc>
        <w:tc>
          <w:tcPr>
            <w:tcW w:w="1119" w:type="dxa"/>
            <w:vAlign w:val="center"/>
          </w:tcPr>
          <w:p w14:paraId="57EEFB7D">
            <w:pPr>
              <w:jc w:val="center"/>
              <w:rPr>
                <w:rFonts w:ascii="宋体" w:hAnsi="宋体"/>
                <w:b/>
                <w:bCs/>
                <w:color w:val="auto"/>
                <w:szCs w:val="21"/>
              </w:rPr>
            </w:pPr>
            <w:r>
              <w:rPr>
                <w:rFonts w:hint="eastAsia" w:ascii="宋体" w:hAnsi="宋体"/>
                <w:b/>
                <w:bCs/>
                <w:color w:val="auto"/>
                <w:szCs w:val="21"/>
              </w:rPr>
              <w:t>评审项目</w:t>
            </w:r>
          </w:p>
        </w:tc>
        <w:tc>
          <w:tcPr>
            <w:tcW w:w="727" w:type="dxa"/>
            <w:vAlign w:val="center"/>
          </w:tcPr>
          <w:p w14:paraId="067B01DC">
            <w:pPr>
              <w:jc w:val="center"/>
              <w:rPr>
                <w:rFonts w:ascii="宋体" w:hAnsi="宋体"/>
                <w:b/>
                <w:bCs/>
                <w:color w:val="auto"/>
                <w:szCs w:val="21"/>
              </w:rPr>
            </w:pPr>
            <w:r>
              <w:rPr>
                <w:rFonts w:hint="eastAsia" w:ascii="宋体" w:hAnsi="宋体"/>
                <w:b/>
                <w:bCs/>
                <w:color w:val="auto"/>
                <w:szCs w:val="21"/>
              </w:rPr>
              <w:t>分值</w:t>
            </w:r>
          </w:p>
        </w:tc>
        <w:tc>
          <w:tcPr>
            <w:tcW w:w="7017" w:type="dxa"/>
            <w:vAlign w:val="center"/>
          </w:tcPr>
          <w:p w14:paraId="7576819C">
            <w:pPr>
              <w:jc w:val="center"/>
              <w:rPr>
                <w:rFonts w:ascii="宋体" w:hAnsi="宋体"/>
                <w:b/>
                <w:bCs/>
                <w:color w:val="auto"/>
                <w:szCs w:val="21"/>
              </w:rPr>
            </w:pPr>
            <w:r>
              <w:rPr>
                <w:rFonts w:hint="eastAsia" w:ascii="宋体" w:hAnsi="宋体"/>
                <w:b/>
                <w:bCs/>
                <w:color w:val="auto"/>
                <w:szCs w:val="21"/>
              </w:rPr>
              <w:t>评审细则</w:t>
            </w:r>
          </w:p>
        </w:tc>
      </w:tr>
      <w:tr w14:paraId="67518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655" w:type="dxa"/>
            <w:vAlign w:val="center"/>
          </w:tcPr>
          <w:p w14:paraId="7602E82C">
            <w:pPr>
              <w:jc w:val="center"/>
              <w:rPr>
                <w:rFonts w:ascii="宋体" w:hAnsi="宋体"/>
                <w:color w:val="auto"/>
                <w:szCs w:val="21"/>
              </w:rPr>
            </w:pPr>
            <w:r>
              <w:rPr>
                <w:rFonts w:hint="eastAsia" w:ascii="宋体" w:hAnsi="宋体"/>
                <w:color w:val="auto"/>
                <w:szCs w:val="21"/>
              </w:rPr>
              <w:t>1</w:t>
            </w:r>
          </w:p>
        </w:tc>
        <w:tc>
          <w:tcPr>
            <w:tcW w:w="1119" w:type="dxa"/>
            <w:vAlign w:val="center"/>
          </w:tcPr>
          <w:p w14:paraId="0CA54088">
            <w:pPr>
              <w:jc w:val="center"/>
              <w:rPr>
                <w:rFonts w:ascii="宋体" w:hAnsi="宋体"/>
                <w:color w:val="auto"/>
                <w:szCs w:val="21"/>
              </w:rPr>
            </w:pPr>
            <w:r>
              <w:rPr>
                <w:rFonts w:ascii="宋体" w:hAnsi="宋体"/>
                <w:color w:val="auto"/>
                <w:szCs w:val="21"/>
              </w:rPr>
              <w:t>同类业绩</w:t>
            </w:r>
          </w:p>
        </w:tc>
        <w:tc>
          <w:tcPr>
            <w:tcW w:w="727" w:type="dxa"/>
            <w:vAlign w:val="center"/>
          </w:tcPr>
          <w:p w14:paraId="5BFB0448">
            <w:pPr>
              <w:jc w:val="center"/>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分</w:t>
            </w:r>
          </w:p>
        </w:tc>
        <w:tc>
          <w:tcPr>
            <w:tcW w:w="7017" w:type="dxa"/>
            <w:vAlign w:val="top"/>
          </w:tcPr>
          <w:p w14:paraId="323EA100">
            <w:pPr>
              <w:jc w:val="left"/>
              <w:rPr>
                <w:rFonts w:ascii="宋体" w:hAnsi="宋体"/>
                <w:color w:val="auto"/>
                <w:szCs w:val="21"/>
              </w:rPr>
            </w:pPr>
            <w:r>
              <w:rPr>
                <w:rFonts w:ascii="宋体" w:hAnsi="宋体"/>
                <w:color w:val="auto"/>
                <w:szCs w:val="21"/>
              </w:rPr>
              <w:t>202</w:t>
            </w:r>
            <w:r>
              <w:rPr>
                <w:rFonts w:hint="eastAsia" w:ascii="宋体" w:hAnsi="宋体"/>
                <w:color w:val="auto"/>
                <w:szCs w:val="21"/>
                <w:lang w:val="en-US" w:eastAsia="zh-CN"/>
              </w:rPr>
              <w:t>2</w:t>
            </w:r>
            <w:r>
              <w:rPr>
                <w:rFonts w:ascii="宋体" w:hAnsi="宋体"/>
                <w:color w:val="auto"/>
                <w:szCs w:val="21"/>
              </w:rPr>
              <w:t>年1月1日</w:t>
            </w:r>
            <w:r>
              <w:rPr>
                <w:rFonts w:ascii="宋体" w:hAnsi="宋体"/>
                <w:color w:val="auto"/>
                <w:szCs w:val="21"/>
              </w:rPr>
              <w:t>至今投标人承接过</w:t>
            </w:r>
            <w:r>
              <w:rPr>
                <w:rFonts w:hint="eastAsia" w:ascii="宋体" w:hAnsi="宋体"/>
                <w:color w:val="auto"/>
                <w:szCs w:val="21"/>
                <w:lang w:val="en-US" w:eastAsia="zh-CN"/>
              </w:rPr>
              <w:t>同类项目</w:t>
            </w:r>
            <w:r>
              <w:rPr>
                <w:rFonts w:ascii="宋体" w:hAnsi="宋体"/>
                <w:color w:val="auto"/>
                <w:szCs w:val="21"/>
              </w:rPr>
              <w:t>施工业绩的，以合同签订时间为准，每提供1个得</w:t>
            </w:r>
            <w:r>
              <w:rPr>
                <w:rFonts w:hint="eastAsia" w:ascii="宋体" w:hAnsi="宋体"/>
                <w:color w:val="auto"/>
                <w:szCs w:val="21"/>
                <w:lang w:val="en-US" w:eastAsia="zh-CN"/>
              </w:rPr>
              <w:t>3</w:t>
            </w:r>
            <w:r>
              <w:rPr>
                <w:rFonts w:ascii="宋体" w:hAnsi="宋体"/>
                <w:color w:val="auto"/>
                <w:szCs w:val="21"/>
              </w:rPr>
              <w:t>分，最高得</w:t>
            </w:r>
            <w:r>
              <w:rPr>
                <w:rFonts w:hint="eastAsia" w:ascii="宋体" w:hAnsi="宋体"/>
                <w:color w:val="auto"/>
                <w:szCs w:val="21"/>
                <w:lang w:val="en-US" w:eastAsia="zh-CN"/>
              </w:rPr>
              <w:t>6</w:t>
            </w:r>
            <w:r>
              <w:rPr>
                <w:rFonts w:ascii="宋体" w:hAnsi="宋体"/>
                <w:color w:val="auto"/>
                <w:szCs w:val="21"/>
              </w:rPr>
              <w:t xml:space="preserve">分。 </w:t>
            </w:r>
          </w:p>
          <w:p w14:paraId="46D29E1A">
            <w:pPr>
              <w:jc w:val="left"/>
              <w:rPr>
                <w:rFonts w:ascii="宋体" w:hAnsi="宋体"/>
                <w:color w:val="auto"/>
                <w:szCs w:val="21"/>
              </w:rPr>
            </w:pPr>
            <w:r>
              <w:rPr>
                <w:rFonts w:ascii="宋体" w:hAnsi="宋体"/>
                <w:color w:val="auto"/>
                <w:szCs w:val="21"/>
              </w:rPr>
              <w:t>注：须提供项目合同复印件加盖公章，不提供不得分。</w:t>
            </w:r>
          </w:p>
        </w:tc>
      </w:tr>
      <w:tr w14:paraId="354E6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14:paraId="353F1B11">
            <w:pPr>
              <w:jc w:val="center"/>
              <w:rPr>
                <w:rFonts w:ascii="宋体" w:hAnsi="宋体"/>
                <w:color w:val="auto"/>
                <w:szCs w:val="21"/>
              </w:rPr>
            </w:pPr>
            <w:r>
              <w:rPr>
                <w:rFonts w:hint="eastAsia" w:ascii="宋体" w:hAnsi="宋体"/>
                <w:color w:val="auto"/>
                <w:szCs w:val="21"/>
              </w:rPr>
              <w:t>3</w:t>
            </w:r>
          </w:p>
        </w:tc>
        <w:tc>
          <w:tcPr>
            <w:tcW w:w="1119" w:type="dxa"/>
            <w:vAlign w:val="center"/>
          </w:tcPr>
          <w:p w14:paraId="2EC9F286">
            <w:pPr>
              <w:jc w:val="center"/>
              <w:rPr>
                <w:rFonts w:ascii="宋体" w:hAnsi="宋体"/>
                <w:color w:val="auto"/>
                <w:szCs w:val="21"/>
              </w:rPr>
            </w:pPr>
            <w:r>
              <w:rPr>
                <w:rFonts w:ascii="宋体" w:hAnsi="宋体"/>
                <w:color w:val="auto"/>
                <w:szCs w:val="21"/>
              </w:rPr>
              <w:t>人员配备情况</w:t>
            </w:r>
          </w:p>
        </w:tc>
        <w:tc>
          <w:tcPr>
            <w:tcW w:w="727" w:type="dxa"/>
            <w:vAlign w:val="center"/>
          </w:tcPr>
          <w:p w14:paraId="26584368">
            <w:pPr>
              <w:jc w:val="center"/>
              <w:rPr>
                <w:rFonts w:ascii="宋体" w:hAnsi="宋体"/>
                <w:color w:val="auto"/>
                <w:szCs w:val="21"/>
              </w:rPr>
            </w:pPr>
            <w:r>
              <w:rPr>
                <w:rFonts w:hint="eastAsia" w:ascii="宋体" w:hAnsi="宋体"/>
                <w:color w:val="auto"/>
                <w:szCs w:val="21"/>
                <w:lang w:val="en-US" w:eastAsia="zh-CN"/>
              </w:rPr>
              <w:t>10</w:t>
            </w:r>
            <w:r>
              <w:rPr>
                <w:rFonts w:hint="eastAsia" w:ascii="宋体" w:hAnsi="宋体"/>
                <w:color w:val="auto"/>
                <w:szCs w:val="21"/>
              </w:rPr>
              <w:t>分</w:t>
            </w:r>
          </w:p>
        </w:tc>
        <w:tc>
          <w:tcPr>
            <w:tcW w:w="7017" w:type="dxa"/>
            <w:vAlign w:val="top"/>
          </w:tcPr>
          <w:p w14:paraId="3F6487C5">
            <w:pPr>
              <w:jc w:val="left"/>
              <w:rPr>
                <w:rFonts w:ascii="宋体" w:hAnsi="宋体"/>
                <w:color w:val="auto"/>
                <w:szCs w:val="21"/>
              </w:rPr>
            </w:pPr>
            <w:r>
              <w:rPr>
                <w:rFonts w:ascii="宋体" w:hAnsi="宋体"/>
                <w:color w:val="auto"/>
                <w:szCs w:val="21"/>
              </w:rPr>
              <w:t>拟投入的安全员、施工员、质量员、资料员、材料员每提供1个得</w:t>
            </w:r>
            <w:r>
              <w:rPr>
                <w:rFonts w:hint="eastAsia" w:ascii="宋体" w:hAnsi="宋体"/>
                <w:color w:val="auto"/>
                <w:szCs w:val="21"/>
                <w:lang w:val="en-US" w:eastAsia="zh-CN"/>
              </w:rPr>
              <w:t>2</w:t>
            </w:r>
            <w:r>
              <w:rPr>
                <w:rFonts w:ascii="宋体" w:hAnsi="宋体"/>
                <w:color w:val="auto"/>
                <w:szCs w:val="21"/>
              </w:rPr>
              <w:t>分（投入各岗位的人员不得重复，一人只计一个证书，不重复计分），最高得</w:t>
            </w:r>
            <w:r>
              <w:rPr>
                <w:rFonts w:hint="eastAsia" w:ascii="宋体" w:hAnsi="宋体"/>
                <w:color w:val="auto"/>
                <w:szCs w:val="21"/>
                <w:lang w:val="en-US" w:eastAsia="zh-CN"/>
              </w:rPr>
              <w:t>10</w:t>
            </w:r>
            <w:r>
              <w:rPr>
                <w:rFonts w:ascii="宋体" w:hAnsi="宋体"/>
                <w:color w:val="auto"/>
                <w:szCs w:val="21"/>
              </w:rPr>
              <w:t xml:space="preserve">分。 </w:t>
            </w:r>
          </w:p>
          <w:p w14:paraId="74F6C523">
            <w:pPr>
              <w:jc w:val="left"/>
              <w:rPr>
                <w:rFonts w:ascii="宋体" w:hAnsi="宋体"/>
                <w:color w:val="auto"/>
                <w:szCs w:val="21"/>
              </w:rPr>
            </w:pPr>
            <w:r>
              <w:rPr>
                <w:rFonts w:ascii="宋体" w:hAnsi="宋体"/>
                <w:color w:val="auto"/>
                <w:szCs w:val="21"/>
              </w:rPr>
              <w:t>注：须提供人员相关证书复印件及在投标单位</w:t>
            </w:r>
            <w:r>
              <w:rPr>
                <w:rFonts w:hint="eastAsia" w:ascii="宋体" w:hAnsi="宋体"/>
                <w:color w:val="auto"/>
                <w:szCs w:val="21"/>
                <w:lang w:val="en-US" w:eastAsia="zh-CN"/>
              </w:rPr>
              <w:t>2024年10月至投标截止时间内任意一个月</w:t>
            </w:r>
            <w:r>
              <w:rPr>
                <w:rFonts w:ascii="宋体" w:hAnsi="宋体"/>
                <w:color w:val="auto"/>
                <w:szCs w:val="21"/>
              </w:rPr>
              <w:t>购买社保的证明文件复印件并加盖公章，未提供不得分。</w:t>
            </w:r>
          </w:p>
        </w:tc>
      </w:tr>
      <w:tr w14:paraId="454D1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5" w:type="dxa"/>
            <w:vAlign w:val="center"/>
          </w:tcPr>
          <w:p w14:paraId="09DDB2D8">
            <w:pPr>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1119" w:type="dxa"/>
            <w:vAlign w:val="center"/>
          </w:tcPr>
          <w:p w14:paraId="69A656B1">
            <w:pPr>
              <w:jc w:val="center"/>
              <w:rPr>
                <w:rFonts w:hint="eastAsia" w:ascii="宋体" w:hAnsi="宋体"/>
                <w:color w:val="auto"/>
                <w:szCs w:val="21"/>
              </w:rPr>
            </w:pPr>
            <w:r>
              <w:rPr>
                <w:rFonts w:hint="eastAsia" w:ascii="宋体" w:hAnsi="宋体"/>
                <w:color w:val="auto"/>
                <w:szCs w:val="21"/>
                <w:lang w:val="en-US" w:eastAsia="zh-CN"/>
              </w:rPr>
              <w:t>应急</w:t>
            </w:r>
            <w:r>
              <w:rPr>
                <w:rFonts w:ascii="宋体" w:hAnsi="宋体"/>
                <w:color w:val="auto"/>
                <w:szCs w:val="21"/>
              </w:rPr>
              <w:t>服务响应能力</w:t>
            </w:r>
          </w:p>
        </w:tc>
        <w:tc>
          <w:tcPr>
            <w:tcW w:w="727" w:type="dxa"/>
            <w:vAlign w:val="center"/>
          </w:tcPr>
          <w:p w14:paraId="2B4EC6CB">
            <w:pPr>
              <w:jc w:val="center"/>
              <w:rPr>
                <w:rFonts w:hint="eastAsia" w:ascii="宋体" w:hAnsi="宋体"/>
                <w:color w:val="auto"/>
                <w:szCs w:val="21"/>
                <w:lang w:val="en-US" w:eastAsia="zh-CN"/>
              </w:rPr>
            </w:pPr>
            <w:r>
              <w:rPr>
                <w:rFonts w:hint="eastAsia" w:ascii="宋体" w:hAnsi="宋体"/>
                <w:color w:val="auto"/>
                <w:szCs w:val="21"/>
                <w:lang w:val="en-US" w:eastAsia="zh-CN"/>
              </w:rPr>
              <w:t>4分</w:t>
            </w:r>
          </w:p>
        </w:tc>
        <w:tc>
          <w:tcPr>
            <w:tcW w:w="7017" w:type="dxa"/>
            <w:vAlign w:val="top"/>
          </w:tcPr>
          <w:p w14:paraId="6CEBFAD6">
            <w:pPr>
              <w:jc w:val="left"/>
              <w:rPr>
                <w:rFonts w:ascii="宋体" w:hAnsi="宋体"/>
                <w:color w:val="auto"/>
                <w:szCs w:val="21"/>
              </w:rPr>
            </w:pPr>
            <w:r>
              <w:rPr>
                <w:rFonts w:ascii="宋体" w:hAnsi="宋体"/>
                <w:color w:val="auto"/>
                <w:szCs w:val="21"/>
              </w:rPr>
              <w:t>1、投标人承诺在接到采购人</w:t>
            </w:r>
            <w:r>
              <w:rPr>
                <w:rFonts w:hint="eastAsia" w:ascii="宋体" w:hAnsi="宋体"/>
                <w:color w:val="auto"/>
                <w:szCs w:val="21"/>
              </w:rPr>
              <w:t>应急服务</w:t>
            </w:r>
            <w:r>
              <w:rPr>
                <w:rFonts w:ascii="宋体" w:hAnsi="宋体"/>
                <w:color w:val="auto"/>
                <w:szCs w:val="21"/>
              </w:rPr>
              <w:t>通知后1小时内到现场响应服务的，得</w:t>
            </w:r>
            <w:r>
              <w:rPr>
                <w:rFonts w:hint="eastAsia" w:ascii="宋体" w:hAnsi="宋体"/>
                <w:color w:val="auto"/>
                <w:szCs w:val="21"/>
                <w:lang w:val="en-US" w:eastAsia="zh-CN"/>
              </w:rPr>
              <w:t>4</w:t>
            </w:r>
            <w:r>
              <w:rPr>
                <w:rFonts w:ascii="宋体" w:hAnsi="宋体"/>
                <w:color w:val="auto"/>
                <w:szCs w:val="21"/>
              </w:rPr>
              <w:t xml:space="preserve">分； </w:t>
            </w:r>
          </w:p>
          <w:p w14:paraId="6E312A9B">
            <w:pPr>
              <w:jc w:val="left"/>
              <w:rPr>
                <w:rFonts w:ascii="宋体" w:hAnsi="宋体"/>
                <w:color w:val="auto"/>
                <w:szCs w:val="21"/>
              </w:rPr>
            </w:pPr>
            <w:r>
              <w:rPr>
                <w:rFonts w:ascii="宋体" w:hAnsi="宋体"/>
                <w:color w:val="auto"/>
                <w:szCs w:val="21"/>
              </w:rPr>
              <w:t>2、投标人承诺在接到采购人</w:t>
            </w:r>
            <w:r>
              <w:rPr>
                <w:rFonts w:hint="eastAsia" w:ascii="宋体" w:hAnsi="宋体"/>
                <w:color w:val="auto"/>
                <w:szCs w:val="21"/>
                <w:lang w:val="en-US" w:eastAsia="zh-CN"/>
              </w:rPr>
              <w:t>应急</w:t>
            </w:r>
            <w:r>
              <w:rPr>
                <w:rFonts w:ascii="宋体" w:hAnsi="宋体"/>
                <w:color w:val="auto"/>
                <w:szCs w:val="21"/>
              </w:rPr>
              <w:t>服务通知后1（不含）-3小时（含）到现场响应服务的，得</w:t>
            </w:r>
            <w:r>
              <w:rPr>
                <w:rFonts w:hint="eastAsia" w:ascii="宋体" w:hAnsi="宋体"/>
                <w:color w:val="auto"/>
                <w:szCs w:val="21"/>
                <w:lang w:val="en-US" w:eastAsia="zh-CN"/>
              </w:rPr>
              <w:t>2</w:t>
            </w:r>
            <w:r>
              <w:rPr>
                <w:rFonts w:ascii="宋体" w:hAnsi="宋体"/>
                <w:color w:val="auto"/>
                <w:szCs w:val="21"/>
              </w:rPr>
              <w:t xml:space="preserve">分； </w:t>
            </w:r>
          </w:p>
          <w:p w14:paraId="363E0EF8">
            <w:pPr>
              <w:jc w:val="left"/>
              <w:rPr>
                <w:rFonts w:ascii="宋体" w:hAnsi="宋体"/>
                <w:color w:val="auto"/>
                <w:szCs w:val="21"/>
              </w:rPr>
            </w:pPr>
            <w:r>
              <w:rPr>
                <w:rFonts w:ascii="宋体" w:hAnsi="宋体"/>
                <w:color w:val="auto"/>
                <w:szCs w:val="21"/>
              </w:rPr>
              <w:t>3、投标人承诺在接到采购人</w:t>
            </w:r>
            <w:r>
              <w:rPr>
                <w:rFonts w:hint="eastAsia" w:ascii="宋体" w:hAnsi="宋体"/>
                <w:color w:val="auto"/>
                <w:szCs w:val="21"/>
                <w:lang w:val="en-US" w:eastAsia="zh-CN"/>
              </w:rPr>
              <w:t>应急</w:t>
            </w:r>
            <w:r>
              <w:rPr>
                <w:rFonts w:ascii="宋体" w:hAnsi="宋体"/>
                <w:color w:val="auto"/>
                <w:szCs w:val="21"/>
              </w:rPr>
              <w:t xml:space="preserve">服务通知后3（不含）-5小时（含）到现场响应服务的，得1分； </w:t>
            </w:r>
          </w:p>
          <w:p w14:paraId="0C8F4DD9">
            <w:pPr>
              <w:jc w:val="left"/>
              <w:rPr>
                <w:rFonts w:hint="default" w:ascii="宋体" w:hAnsi="宋体" w:eastAsia="宋体"/>
                <w:color w:val="auto"/>
                <w:szCs w:val="21"/>
                <w:lang w:val="en-US" w:eastAsia="zh-CN"/>
              </w:rPr>
            </w:pPr>
            <w:r>
              <w:rPr>
                <w:rFonts w:hint="eastAsia" w:ascii="宋体" w:hAnsi="宋体"/>
                <w:color w:val="auto"/>
                <w:szCs w:val="21"/>
                <w:lang w:val="en-US" w:eastAsia="zh-CN"/>
              </w:rPr>
              <w:t>4、其他情况或未提供不得分。</w:t>
            </w:r>
          </w:p>
          <w:p w14:paraId="463A12F2">
            <w:pPr>
              <w:jc w:val="left"/>
              <w:rPr>
                <w:rFonts w:hint="eastAsia" w:ascii="宋体" w:hAnsi="宋体"/>
                <w:color w:val="auto"/>
                <w:szCs w:val="21"/>
              </w:rPr>
            </w:pPr>
            <w:r>
              <w:rPr>
                <w:rFonts w:ascii="宋体" w:hAnsi="宋体"/>
                <w:color w:val="auto"/>
                <w:szCs w:val="21"/>
              </w:rPr>
              <w:t>注：提供承诺函，格式自拟，未提供不得分。</w:t>
            </w:r>
          </w:p>
        </w:tc>
      </w:tr>
      <w:tr w14:paraId="11627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774" w:type="dxa"/>
            <w:gridSpan w:val="2"/>
            <w:vAlign w:val="center"/>
          </w:tcPr>
          <w:p w14:paraId="4E7364C8">
            <w:pPr>
              <w:jc w:val="center"/>
              <w:rPr>
                <w:rFonts w:ascii="宋体" w:hAnsi="宋体"/>
                <w:b/>
                <w:bCs/>
                <w:color w:val="auto"/>
                <w:szCs w:val="21"/>
              </w:rPr>
            </w:pPr>
            <w:r>
              <w:rPr>
                <w:rFonts w:hint="eastAsia" w:ascii="宋体" w:hAnsi="宋体"/>
                <w:b/>
                <w:bCs/>
                <w:color w:val="auto"/>
                <w:szCs w:val="21"/>
              </w:rPr>
              <w:t>合计</w:t>
            </w:r>
          </w:p>
        </w:tc>
        <w:tc>
          <w:tcPr>
            <w:tcW w:w="727" w:type="dxa"/>
            <w:vAlign w:val="center"/>
          </w:tcPr>
          <w:p w14:paraId="16AF8AEB">
            <w:pPr>
              <w:jc w:val="center"/>
              <w:rPr>
                <w:rFonts w:ascii="宋体" w:hAnsi="宋体"/>
                <w:b/>
                <w:bCs/>
                <w:color w:val="auto"/>
                <w:szCs w:val="21"/>
              </w:rPr>
            </w:pPr>
            <w:r>
              <w:rPr>
                <w:rFonts w:hint="eastAsia" w:ascii="宋体" w:hAnsi="宋体"/>
                <w:b/>
                <w:bCs/>
                <w:color w:val="auto"/>
                <w:szCs w:val="21"/>
                <w:lang w:val="en-US" w:eastAsia="zh-CN"/>
              </w:rPr>
              <w:t>2</w:t>
            </w:r>
            <w:r>
              <w:rPr>
                <w:rFonts w:hint="eastAsia" w:ascii="宋体" w:hAnsi="宋体"/>
                <w:b/>
                <w:bCs/>
                <w:color w:val="auto"/>
                <w:szCs w:val="21"/>
              </w:rPr>
              <w:t>0分</w:t>
            </w:r>
          </w:p>
        </w:tc>
        <w:tc>
          <w:tcPr>
            <w:tcW w:w="7017" w:type="dxa"/>
            <w:vAlign w:val="center"/>
          </w:tcPr>
          <w:p w14:paraId="680BB685">
            <w:pPr>
              <w:snapToGrid w:val="0"/>
              <w:rPr>
                <w:rFonts w:ascii="宋体" w:hAnsi="宋体"/>
                <w:color w:val="auto"/>
                <w:szCs w:val="21"/>
              </w:rPr>
            </w:pPr>
          </w:p>
        </w:tc>
      </w:tr>
    </w:tbl>
    <w:p w14:paraId="03372456">
      <w:pPr>
        <w:rPr>
          <w:rFonts w:ascii="Arial" w:hAnsi="Arial" w:eastAsia="黑体"/>
          <w:b/>
          <w:bCs/>
          <w:color w:val="auto"/>
          <w:sz w:val="32"/>
          <w:szCs w:val="32"/>
        </w:rPr>
      </w:pPr>
      <w:r>
        <w:rPr>
          <w:rFonts w:hint="eastAsia" w:ascii="Arial" w:hAnsi="Arial" w:eastAsia="黑体"/>
          <w:b/>
          <w:bCs/>
          <w:color w:val="auto"/>
          <w:sz w:val="32"/>
          <w:szCs w:val="32"/>
        </w:rPr>
        <w:br w:type="page"/>
      </w:r>
    </w:p>
    <w:p w14:paraId="55113C55">
      <w:pPr>
        <w:rPr>
          <w:rFonts w:ascii="Arial" w:hAnsi="Arial" w:eastAsia="黑体"/>
          <w:b/>
          <w:bCs/>
          <w:color w:val="auto"/>
          <w:sz w:val="32"/>
          <w:szCs w:val="32"/>
        </w:rPr>
      </w:pPr>
      <w:r>
        <w:rPr>
          <w:rFonts w:hint="eastAsia" w:ascii="宋体" w:hAnsi="宋体"/>
          <w:b/>
          <w:color w:val="auto"/>
          <w:sz w:val="30"/>
        </w:rPr>
        <w:t>附表三                 技术评审表</w:t>
      </w:r>
    </w:p>
    <w:tbl>
      <w:tblPr>
        <w:tblStyle w:val="36"/>
        <w:tblW w:w="1006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78"/>
        <w:gridCol w:w="1228"/>
        <w:gridCol w:w="666"/>
        <w:gridCol w:w="7490"/>
      </w:tblGrid>
      <w:tr w14:paraId="1F3029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jc w:val="center"/>
        </w:trPr>
        <w:tc>
          <w:tcPr>
            <w:tcW w:w="678" w:type="dxa"/>
            <w:tcBorders>
              <w:top w:val="single" w:color="auto" w:sz="4" w:space="0"/>
            </w:tcBorders>
            <w:vAlign w:val="center"/>
          </w:tcPr>
          <w:p w14:paraId="4891C465">
            <w:pPr>
              <w:jc w:val="center"/>
              <w:rPr>
                <w:rFonts w:ascii="宋体" w:hAnsi="宋体"/>
                <w:b/>
                <w:bCs/>
                <w:color w:val="auto"/>
                <w:szCs w:val="21"/>
              </w:rPr>
            </w:pPr>
            <w:r>
              <w:rPr>
                <w:rFonts w:hint="eastAsia" w:ascii="宋体" w:hAnsi="宋体"/>
                <w:b/>
                <w:bCs/>
                <w:color w:val="auto"/>
                <w:szCs w:val="21"/>
              </w:rPr>
              <w:t>序号</w:t>
            </w:r>
          </w:p>
        </w:tc>
        <w:tc>
          <w:tcPr>
            <w:tcW w:w="1228" w:type="dxa"/>
            <w:tcBorders>
              <w:top w:val="single" w:color="auto" w:sz="4" w:space="0"/>
            </w:tcBorders>
            <w:vAlign w:val="center"/>
          </w:tcPr>
          <w:p w14:paraId="10582A07">
            <w:pPr>
              <w:jc w:val="center"/>
              <w:rPr>
                <w:rFonts w:ascii="宋体" w:hAnsi="宋体"/>
                <w:b/>
                <w:bCs/>
                <w:color w:val="auto"/>
                <w:szCs w:val="21"/>
              </w:rPr>
            </w:pPr>
            <w:r>
              <w:rPr>
                <w:rFonts w:hint="eastAsia" w:ascii="宋体" w:hAnsi="宋体"/>
                <w:b/>
                <w:bCs/>
                <w:color w:val="auto"/>
                <w:szCs w:val="21"/>
              </w:rPr>
              <w:t>评分项目</w:t>
            </w:r>
          </w:p>
        </w:tc>
        <w:tc>
          <w:tcPr>
            <w:tcW w:w="666" w:type="dxa"/>
            <w:tcBorders>
              <w:top w:val="single" w:color="auto" w:sz="4" w:space="0"/>
            </w:tcBorders>
            <w:vAlign w:val="center"/>
          </w:tcPr>
          <w:p w14:paraId="7DB21E0C">
            <w:pPr>
              <w:jc w:val="center"/>
              <w:rPr>
                <w:rFonts w:ascii="宋体" w:hAnsi="宋体"/>
                <w:b/>
                <w:bCs/>
                <w:color w:val="auto"/>
                <w:szCs w:val="21"/>
              </w:rPr>
            </w:pPr>
            <w:r>
              <w:rPr>
                <w:rFonts w:hint="eastAsia" w:ascii="宋体" w:hAnsi="宋体"/>
                <w:b/>
                <w:bCs/>
                <w:color w:val="auto"/>
                <w:szCs w:val="21"/>
              </w:rPr>
              <w:t>分值</w:t>
            </w:r>
          </w:p>
        </w:tc>
        <w:tc>
          <w:tcPr>
            <w:tcW w:w="7490" w:type="dxa"/>
            <w:tcBorders>
              <w:left w:val="single" w:color="auto" w:sz="4" w:space="0"/>
            </w:tcBorders>
            <w:vAlign w:val="center"/>
          </w:tcPr>
          <w:p w14:paraId="2A8594ED">
            <w:pPr>
              <w:jc w:val="center"/>
              <w:rPr>
                <w:rFonts w:ascii="宋体" w:hAnsi="宋体"/>
                <w:b/>
                <w:bCs/>
                <w:color w:val="auto"/>
                <w:szCs w:val="21"/>
              </w:rPr>
            </w:pPr>
            <w:r>
              <w:rPr>
                <w:rFonts w:hint="eastAsia" w:ascii="宋体" w:hAnsi="宋体"/>
                <w:b/>
                <w:bCs/>
                <w:color w:val="auto"/>
                <w:szCs w:val="21"/>
              </w:rPr>
              <w:t>评分细则</w:t>
            </w:r>
          </w:p>
        </w:tc>
      </w:tr>
      <w:tr w14:paraId="434563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1" w:hRule="atLeast"/>
          <w:jc w:val="center"/>
        </w:trPr>
        <w:tc>
          <w:tcPr>
            <w:tcW w:w="678" w:type="dxa"/>
            <w:tcBorders>
              <w:top w:val="single" w:color="auto" w:sz="4" w:space="0"/>
            </w:tcBorders>
            <w:shd w:val="clear" w:color="auto" w:fill="auto"/>
            <w:vAlign w:val="center"/>
          </w:tcPr>
          <w:p w14:paraId="5BFDB64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1228" w:type="dxa"/>
            <w:tcBorders>
              <w:top w:val="single" w:color="auto" w:sz="4" w:space="0"/>
            </w:tcBorders>
            <w:shd w:val="clear" w:color="auto" w:fill="auto"/>
            <w:vAlign w:val="center"/>
          </w:tcPr>
          <w:p w14:paraId="42660B32">
            <w:pPr>
              <w:pStyle w:val="13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项目实施方案</w:t>
            </w:r>
          </w:p>
        </w:tc>
        <w:tc>
          <w:tcPr>
            <w:tcW w:w="666" w:type="dxa"/>
            <w:tcBorders>
              <w:top w:val="single" w:color="auto" w:sz="4" w:space="0"/>
            </w:tcBorders>
            <w:shd w:val="clear" w:color="auto" w:fill="auto"/>
            <w:vAlign w:val="center"/>
          </w:tcPr>
          <w:p w14:paraId="2FA174E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7490" w:type="dxa"/>
            <w:tcBorders>
              <w:left w:val="single" w:color="auto" w:sz="4" w:space="0"/>
            </w:tcBorders>
            <w:shd w:val="clear" w:color="auto" w:fill="auto"/>
            <w:vAlign w:val="top"/>
          </w:tcPr>
          <w:p w14:paraId="1A7A03F8">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根据各响应供应商针对本项目提供的项目实施方案（包括工程概况、施工管理组织机构、对项目的理解程度等）进行评审：</w:t>
            </w:r>
          </w:p>
          <w:p w14:paraId="53715C3B">
            <w:pPr>
              <w:pStyle w:val="130"/>
              <w:jc w:val="left"/>
              <w:rPr>
                <w:rFonts w:hint="eastAsia" w:ascii="宋体" w:hAnsi="宋体" w:eastAsia="宋体" w:cs="宋体"/>
                <w:color w:val="auto"/>
                <w:sz w:val="21"/>
                <w:szCs w:val="21"/>
                <w:lang w:val="en-US" w:eastAsia="zh-Hans" w:bidi="ar-SA"/>
              </w:rPr>
            </w:pPr>
            <w:r>
              <w:rPr>
                <w:rFonts w:hint="eastAsia" w:ascii="宋体" w:hAnsi="宋体" w:eastAsia="宋体" w:cs="宋体"/>
                <w:color w:val="auto"/>
                <w:sz w:val="21"/>
                <w:szCs w:val="21"/>
              </w:rPr>
              <w:t>1.方案全面、详细、科学合理，可行性高，得10分；2.方案较详细、较合理，可行性较高，得7分；3.方案有基本内容，可行性一般，得4分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4.方案内容不完整，可行性差，得1分； 5.其他情况或不提供的不得分。</w:t>
            </w:r>
          </w:p>
        </w:tc>
      </w:tr>
      <w:tr w14:paraId="644312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56" w:hRule="atLeast"/>
          <w:jc w:val="center"/>
        </w:trPr>
        <w:tc>
          <w:tcPr>
            <w:tcW w:w="678" w:type="dxa"/>
            <w:tcBorders>
              <w:top w:val="single" w:color="auto" w:sz="4" w:space="0"/>
            </w:tcBorders>
            <w:vAlign w:val="center"/>
          </w:tcPr>
          <w:p w14:paraId="39039911">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228" w:type="dxa"/>
            <w:tcBorders>
              <w:top w:val="single" w:color="auto" w:sz="4" w:space="0"/>
            </w:tcBorders>
            <w:vAlign w:val="center"/>
          </w:tcPr>
          <w:p w14:paraId="0FD15CFF">
            <w:pPr>
              <w:pStyle w:val="130"/>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施工技术措施</w:t>
            </w:r>
          </w:p>
        </w:tc>
        <w:tc>
          <w:tcPr>
            <w:tcW w:w="666" w:type="dxa"/>
            <w:tcBorders>
              <w:top w:val="single" w:color="auto" w:sz="4" w:space="0"/>
            </w:tcBorders>
            <w:vAlign w:val="center"/>
          </w:tcPr>
          <w:p w14:paraId="1E2D542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7490" w:type="dxa"/>
            <w:tcBorders>
              <w:left w:val="single" w:color="auto" w:sz="4" w:space="0"/>
            </w:tcBorders>
            <w:vAlign w:val="top"/>
          </w:tcPr>
          <w:p w14:paraId="32583C06">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根据各响应供应商提供的施工技术措施进行评审： </w:t>
            </w:r>
          </w:p>
          <w:p w14:paraId="31828707">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1.项目关键技术、工艺有深入的表述，对重点、难点有先进、合理的建议，解决方案完整、经济、安全、切实可行，措施得力的，得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分；2.对项目关键技术、工艺有深入的表述，对重点、难点有合理的建议，解决方案较为经济安全、可行性较高，措施较得力的，得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分；3.对项目关键技术、工艺有建议，对重点、难点有建议，解决方案一般，措施基本可行，得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分；4.对项目关键技术、工艺有基本描述，措施可行性差的，得1分；5.其他情况或不提供的不得分。</w:t>
            </w:r>
          </w:p>
        </w:tc>
      </w:tr>
      <w:tr w14:paraId="504FE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3" w:hRule="atLeast"/>
          <w:jc w:val="center"/>
        </w:trPr>
        <w:tc>
          <w:tcPr>
            <w:tcW w:w="678" w:type="dxa"/>
            <w:tcBorders>
              <w:top w:val="single" w:color="auto" w:sz="4" w:space="0"/>
              <w:bottom w:val="single" w:color="auto" w:sz="4" w:space="0"/>
            </w:tcBorders>
            <w:vAlign w:val="center"/>
          </w:tcPr>
          <w:p w14:paraId="66312E27">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1228" w:type="dxa"/>
            <w:tcBorders>
              <w:top w:val="single" w:color="auto" w:sz="4" w:space="0"/>
              <w:bottom w:val="single" w:color="auto" w:sz="4" w:space="0"/>
            </w:tcBorders>
            <w:vAlign w:val="center"/>
          </w:tcPr>
          <w:p w14:paraId="65747FE6">
            <w:pPr>
              <w:pStyle w:val="130"/>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施工总进度计划及进度保证措施</w:t>
            </w:r>
          </w:p>
        </w:tc>
        <w:tc>
          <w:tcPr>
            <w:tcW w:w="666" w:type="dxa"/>
            <w:tcBorders>
              <w:top w:val="single" w:color="auto" w:sz="4" w:space="0"/>
              <w:bottom w:val="single" w:color="auto" w:sz="4" w:space="0"/>
            </w:tcBorders>
            <w:vAlign w:val="center"/>
          </w:tcPr>
          <w:p w14:paraId="2D9275B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7490" w:type="dxa"/>
            <w:tcBorders>
              <w:left w:val="single" w:color="auto" w:sz="4" w:space="0"/>
            </w:tcBorders>
            <w:vAlign w:val="top"/>
          </w:tcPr>
          <w:p w14:paraId="13562F37">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根据响应供应商提供的施工总进度计划及保证措施进行综合评审： </w:t>
            </w:r>
          </w:p>
          <w:p w14:paraId="0BB64521">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1.施工工期计划目标明确具体、工期进度计划具有逻辑性、可行性，进度保证措施科学、合理的，得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 2.施工工期计划目标比较明确具体，工期进度计划较有逻辑性、较可行、较合理，进度保证措施较科学、较合理的，得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分；3.施工工期计划目标基本明确具体，工期进度计划基本具有逻辑性、基本可行，进度保证措施基本合理的，得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 4.施工工期计划目标不明确，工期进度计划逻辑性</w:t>
            </w:r>
            <w:r>
              <w:rPr>
                <w:rFonts w:hint="eastAsia" w:ascii="宋体" w:hAnsi="宋体" w:eastAsia="宋体" w:cs="宋体"/>
                <w:color w:val="auto"/>
                <w:sz w:val="21"/>
                <w:szCs w:val="21"/>
                <w:lang w:val="en-US" w:eastAsia="zh-CN"/>
              </w:rPr>
              <w:t>差</w:t>
            </w:r>
            <w:r>
              <w:rPr>
                <w:rFonts w:hint="eastAsia" w:ascii="宋体" w:hAnsi="宋体" w:eastAsia="宋体" w:cs="宋体"/>
                <w:color w:val="auto"/>
                <w:sz w:val="21"/>
                <w:szCs w:val="21"/>
              </w:rPr>
              <w:t>，进度保证措施</w:t>
            </w:r>
            <w:r>
              <w:rPr>
                <w:rFonts w:hint="eastAsia" w:ascii="宋体" w:hAnsi="宋体" w:eastAsia="宋体" w:cs="宋体"/>
                <w:color w:val="auto"/>
                <w:sz w:val="21"/>
                <w:szCs w:val="21"/>
                <w:lang w:val="en-US" w:eastAsia="zh-CN"/>
              </w:rPr>
              <w:t>差</w:t>
            </w:r>
            <w:r>
              <w:rPr>
                <w:rFonts w:hint="eastAsia" w:ascii="宋体" w:hAnsi="宋体" w:eastAsia="宋体" w:cs="宋体"/>
                <w:color w:val="auto"/>
                <w:sz w:val="21"/>
                <w:szCs w:val="21"/>
              </w:rPr>
              <w:t>的，得1分； 5.其他情况或不提供的不得分。</w:t>
            </w:r>
          </w:p>
        </w:tc>
      </w:tr>
      <w:tr w14:paraId="286880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7" w:hRule="atLeast"/>
          <w:jc w:val="center"/>
        </w:trPr>
        <w:tc>
          <w:tcPr>
            <w:tcW w:w="678" w:type="dxa"/>
            <w:tcBorders>
              <w:top w:val="single" w:color="auto" w:sz="4" w:space="0"/>
              <w:bottom w:val="single" w:color="auto" w:sz="4" w:space="0"/>
            </w:tcBorders>
            <w:vAlign w:val="center"/>
          </w:tcPr>
          <w:p w14:paraId="22381D9C">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1228" w:type="dxa"/>
            <w:tcBorders>
              <w:top w:val="single" w:color="auto" w:sz="4" w:space="0"/>
              <w:bottom w:val="single" w:color="auto" w:sz="4" w:space="0"/>
            </w:tcBorders>
            <w:vAlign w:val="center"/>
          </w:tcPr>
          <w:p w14:paraId="33CD345C">
            <w:pPr>
              <w:pStyle w:val="13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工程质量目标及质量保证措施</w:t>
            </w:r>
          </w:p>
        </w:tc>
        <w:tc>
          <w:tcPr>
            <w:tcW w:w="666" w:type="dxa"/>
            <w:tcBorders>
              <w:top w:val="single" w:color="auto" w:sz="4" w:space="0"/>
              <w:bottom w:val="single" w:color="auto" w:sz="4" w:space="0"/>
            </w:tcBorders>
            <w:vAlign w:val="center"/>
          </w:tcPr>
          <w:p w14:paraId="22D16FE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7490" w:type="dxa"/>
            <w:tcBorders>
              <w:left w:val="single" w:color="auto" w:sz="4" w:space="0"/>
            </w:tcBorders>
            <w:vAlign w:val="top"/>
          </w:tcPr>
          <w:p w14:paraId="5350A7F1">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根据各响应供应商提供的工程质量目标及质量保证措施内容进行综合评审： </w:t>
            </w:r>
          </w:p>
          <w:p w14:paraId="22B46D19">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1.工程质量目标明确及质量保证措施合理、可行，具体，得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 2.工程质量目标较明确及质量保证措施较合理、可行，得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 3.工程质量目标基本明确及质量保证措施基本可行，得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 4.工程质量目标不明确，质量保证措施可行性差,得1分；5.其他情况或不提供的不得分。</w:t>
            </w:r>
          </w:p>
        </w:tc>
      </w:tr>
      <w:tr w14:paraId="74EECA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6" w:hRule="atLeast"/>
          <w:jc w:val="center"/>
        </w:trPr>
        <w:tc>
          <w:tcPr>
            <w:tcW w:w="678" w:type="dxa"/>
            <w:tcBorders>
              <w:top w:val="single" w:color="auto" w:sz="4" w:space="0"/>
              <w:bottom w:val="single" w:color="auto" w:sz="4" w:space="0"/>
            </w:tcBorders>
            <w:vAlign w:val="center"/>
          </w:tcPr>
          <w:p w14:paraId="1CB1CDF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228" w:type="dxa"/>
            <w:tcBorders>
              <w:top w:val="single" w:color="auto" w:sz="4" w:space="0"/>
              <w:bottom w:val="single" w:color="auto" w:sz="4" w:space="0"/>
            </w:tcBorders>
            <w:vAlign w:val="center"/>
          </w:tcPr>
          <w:p w14:paraId="1DCE5F22">
            <w:pPr>
              <w:pStyle w:val="130"/>
              <w:jc w:val="center"/>
              <w:rPr>
                <w:rFonts w:hint="eastAsia" w:ascii="宋体" w:hAnsi="宋体" w:eastAsia="宋体" w:cs="宋体"/>
                <w:color w:val="auto"/>
                <w:sz w:val="21"/>
                <w:szCs w:val="21"/>
              </w:rPr>
            </w:pPr>
            <w:r>
              <w:rPr>
                <w:rFonts w:hint="eastAsia" w:ascii="宋体" w:hAnsi="宋体" w:eastAsia="宋体" w:cs="宋体"/>
                <w:color w:val="auto"/>
                <w:sz w:val="21"/>
                <w:szCs w:val="21"/>
              </w:rPr>
              <w:t>绿色施工、安全防护、文明施工措施计划</w:t>
            </w:r>
          </w:p>
        </w:tc>
        <w:tc>
          <w:tcPr>
            <w:tcW w:w="666" w:type="dxa"/>
            <w:tcBorders>
              <w:top w:val="single" w:color="auto" w:sz="4" w:space="0"/>
              <w:bottom w:val="single" w:color="auto" w:sz="4" w:space="0"/>
            </w:tcBorders>
            <w:vAlign w:val="center"/>
          </w:tcPr>
          <w:p w14:paraId="47B45B9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7490" w:type="dxa"/>
            <w:tcBorders>
              <w:left w:val="single" w:color="auto" w:sz="4" w:space="0"/>
            </w:tcBorders>
            <w:vAlign w:val="top"/>
          </w:tcPr>
          <w:p w14:paraId="0E1DD325">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根据各响应供应商提供的绿色施工、安全防护、文明施工措施计划进行评审： </w:t>
            </w:r>
          </w:p>
          <w:p w14:paraId="54CDE682">
            <w:pPr>
              <w:pStyle w:val="130"/>
              <w:jc w:val="left"/>
              <w:rPr>
                <w:rFonts w:hint="eastAsia" w:ascii="宋体" w:hAnsi="宋体" w:eastAsia="宋体" w:cs="宋体"/>
                <w:color w:val="auto"/>
                <w:sz w:val="21"/>
                <w:szCs w:val="21"/>
              </w:rPr>
            </w:pPr>
            <w:r>
              <w:rPr>
                <w:rFonts w:hint="eastAsia" w:ascii="宋体" w:hAnsi="宋体" w:eastAsia="宋体" w:cs="宋体"/>
                <w:color w:val="auto"/>
                <w:sz w:val="21"/>
                <w:szCs w:val="21"/>
              </w:rPr>
              <w:t>1.针对项目实际情况，有具体、完整、可行的施工措施计划，采用规范准确、清晰，得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 2.针对项目实际情况，有较具体、较完善、较可行的施工措施计划，采用规范较准确，得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 3.针对项目实际情况，有基本可行的施工措施计划，得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 4.施工措施计划内容不完整，可行性差，得1分；5.其他情况或不提供的不得分。</w:t>
            </w:r>
          </w:p>
        </w:tc>
      </w:tr>
      <w:tr w14:paraId="04B90D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1906" w:type="dxa"/>
            <w:gridSpan w:val="2"/>
            <w:tcBorders>
              <w:top w:val="single" w:color="auto" w:sz="4" w:space="0"/>
              <w:bottom w:val="single" w:color="auto" w:sz="4" w:space="0"/>
            </w:tcBorders>
            <w:vAlign w:val="center"/>
          </w:tcPr>
          <w:p w14:paraId="453DD36C">
            <w:pPr>
              <w:jc w:val="center"/>
              <w:rPr>
                <w:rFonts w:ascii="宋体" w:hAnsi="宋体"/>
                <w:b/>
                <w:bCs/>
                <w:color w:val="auto"/>
                <w:szCs w:val="21"/>
              </w:rPr>
            </w:pPr>
            <w:r>
              <w:rPr>
                <w:rFonts w:hint="eastAsia" w:ascii="宋体" w:hAnsi="宋体"/>
                <w:b/>
                <w:bCs/>
                <w:color w:val="auto"/>
                <w:szCs w:val="21"/>
              </w:rPr>
              <w:t>合计</w:t>
            </w:r>
          </w:p>
        </w:tc>
        <w:tc>
          <w:tcPr>
            <w:tcW w:w="666" w:type="dxa"/>
            <w:tcBorders>
              <w:top w:val="single" w:color="auto" w:sz="4" w:space="0"/>
              <w:bottom w:val="single" w:color="auto" w:sz="4" w:space="0"/>
            </w:tcBorders>
            <w:vAlign w:val="center"/>
          </w:tcPr>
          <w:p w14:paraId="17CADB9D">
            <w:pPr>
              <w:jc w:val="center"/>
              <w:rPr>
                <w:rFonts w:ascii="宋体" w:hAnsi="宋体"/>
                <w:b/>
                <w:bCs/>
                <w:color w:val="auto"/>
                <w:szCs w:val="21"/>
              </w:rPr>
            </w:pPr>
            <w:r>
              <w:rPr>
                <w:rFonts w:hint="eastAsia" w:ascii="宋体" w:hAnsi="宋体"/>
                <w:b/>
                <w:bCs/>
                <w:color w:val="auto"/>
                <w:szCs w:val="21"/>
              </w:rPr>
              <w:t>50分</w:t>
            </w:r>
          </w:p>
        </w:tc>
        <w:tc>
          <w:tcPr>
            <w:tcW w:w="7490" w:type="dxa"/>
            <w:tcBorders>
              <w:left w:val="single" w:color="auto" w:sz="4" w:space="0"/>
            </w:tcBorders>
            <w:vAlign w:val="center"/>
          </w:tcPr>
          <w:p w14:paraId="25762B54">
            <w:pPr>
              <w:snapToGrid w:val="0"/>
              <w:jc w:val="left"/>
              <w:rPr>
                <w:rFonts w:ascii="宋体" w:hAnsi="宋体" w:cs="宋体"/>
                <w:color w:val="auto"/>
                <w:szCs w:val="21"/>
              </w:rPr>
            </w:pPr>
          </w:p>
        </w:tc>
      </w:tr>
    </w:tbl>
    <w:p w14:paraId="0C7FDC8E">
      <w:pPr>
        <w:autoSpaceDE w:val="0"/>
        <w:autoSpaceDN w:val="0"/>
        <w:adjustRightInd w:val="0"/>
        <w:spacing w:line="360" w:lineRule="auto"/>
        <w:ind w:right="678" w:rightChars="323"/>
        <w:jc w:val="left"/>
        <w:rPr>
          <w:rFonts w:ascii="宋体" w:hAnsi="宋体" w:cs="JEIUCH+ËÎÌå"/>
          <w:color w:val="auto"/>
          <w:szCs w:val="21"/>
        </w:rPr>
      </w:pPr>
      <w:r>
        <w:rPr>
          <w:rFonts w:ascii="宋体" w:hAnsi="宋体" w:cs="宋体"/>
          <w:b/>
          <w:color w:val="auto"/>
          <w:szCs w:val="21"/>
        </w:rPr>
        <w:t>备注：</w:t>
      </w:r>
      <w:r>
        <w:rPr>
          <w:rFonts w:hint="eastAsia" w:ascii="宋体" w:hAnsi="宋体"/>
          <w:b/>
          <w:bCs/>
          <w:color w:val="auto"/>
          <w:szCs w:val="21"/>
        </w:rPr>
        <w:t>响应供应商应提交</w:t>
      </w:r>
      <w:r>
        <w:rPr>
          <w:rFonts w:ascii="宋体" w:hAnsi="宋体"/>
          <w:b/>
          <w:bCs/>
          <w:color w:val="auto"/>
          <w:szCs w:val="21"/>
        </w:rPr>
        <w:t>与评价指标体系相关的各类有效资料。</w:t>
      </w:r>
    </w:p>
    <w:p w14:paraId="5883308D">
      <w:pPr>
        <w:tabs>
          <w:tab w:val="left" w:pos="945"/>
          <w:tab w:val="left" w:pos="1050"/>
          <w:tab w:val="left" w:pos="1155"/>
        </w:tabs>
        <w:spacing w:line="360" w:lineRule="auto"/>
        <w:rPr>
          <w:rFonts w:ascii="宋体"/>
          <w:color w:val="auto"/>
          <w:szCs w:val="21"/>
        </w:rPr>
      </w:pPr>
      <w:r>
        <w:rPr>
          <w:rFonts w:hint="eastAsia" w:ascii="宋体" w:hAnsi="宋体"/>
          <w:b/>
          <w:bCs/>
          <w:color w:val="auto"/>
          <w:szCs w:val="21"/>
        </w:rPr>
        <w:t>价格评分（</w:t>
      </w:r>
      <w:r>
        <w:rPr>
          <w:rFonts w:hint="eastAsia" w:ascii="宋体" w:hAnsi="宋体"/>
          <w:b/>
          <w:bCs/>
          <w:color w:val="auto"/>
          <w:szCs w:val="21"/>
          <w:lang w:val="en-US" w:eastAsia="zh-CN"/>
        </w:rPr>
        <w:t>30</w:t>
      </w:r>
      <w:r>
        <w:rPr>
          <w:rFonts w:hint="eastAsia" w:ascii="宋体" w:hAnsi="宋体"/>
          <w:b/>
          <w:bCs/>
          <w:color w:val="auto"/>
          <w:szCs w:val="21"/>
        </w:rPr>
        <w:t>分）：</w:t>
      </w:r>
      <w:r>
        <w:rPr>
          <w:rFonts w:hint="eastAsia" w:ascii="宋体" w:hAnsi="宋体"/>
          <w:color w:val="auto"/>
          <w:szCs w:val="21"/>
        </w:rPr>
        <w:t>取满足磋商文件要求且最后报价最低的供应商的价格为磋商基准价，其价格分为满分</w:t>
      </w:r>
      <w:r>
        <w:rPr>
          <w:rFonts w:hint="eastAsia" w:ascii="宋体" w:hAnsi="宋体"/>
          <w:color w:val="auto"/>
          <w:szCs w:val="21"/>
          <w:lang w:val="en-US" w:eastAsia="zh-CN"/>
        </w:rPr>
        <w:t>3</w:t>
      </w:r>
      <w:r>
        <w:rPr>
          <w:rFonts w:hint="eastAsia" w:ascii="宋体" w:hAnsi="宋体"/>
          <w:color w:val="auto"/>
          <w:szCs w:val="21"/>
        </w:rPr>
        <w:t>0分；其他供应商的价格分统一按照下列公式计算：</w:t>
      </w:r>
    </w:p>
    <w:p w14:paraId="3ECD8CA2">
      <w:pPr>
        <w:rPr>
          <w:color w:val="auto"/>
          <w:sz w:val="32"/>
          <w:szCs w:val="32"/>
        </w:rPr>
      </w:pPr>
      <w:r>
        <w:rPr>
          <w:rFonts w:hint="eastAsia" w:ascii="宋体" w:hAnsi="宋体"/>
          <w:color w:val="auto"/>
          <w:szCs w:val="21"/>
        </w:rPr>
        <w:t>磋商报价得分</w:t>
      </w:r>
      <w:r>
        <w:rPr>
          <w:rFonts w:ascii="宋体" w:hAnsi="宋体"/>
          <w:color w:val="auto"/>
          <w:szCs w:val="21"/>
        </w:rPr>
        <w:t>=</w:t>
      </w:r>
      <w:r>
        <w:rPr>
          <w:rFonts w:hint="eastAsia" w:ascii="宋体" w:hAnsi="宋体"/>
          <w:color w:val="auto"/>
          <w:szCs w:val="21"/>
        </w:rPr>
        <w:t>磋商基准价</w:t>
      </w:r>
      <w:r>
        <w:rPr>
          <w:rFonts w:ascii="宋体" w:hAnsi="宋体"/>
          <w:color w:val="auto"/>
          <w:szCs w:val="21"/>
        </w:rPr>
        <w:t>/</w:t>
      </w:r>
      <w:r>
        <w:rPr>
          <w:rFonts w:hint="eastAsia" w:ascii="宋体" w:hAnsi="宋体"/>
          <w:color w:val="auto"/>
          <w:szCs w:val="21"/>
        </w:rPr>
        <w:t>最后磋商报价×</w:t>
      </w:r>
      <w:r>
        <w:rPr>
          <w:rFonts w:hint="eastAsia" w:ascii="宋体" w:hAnsi="宋体"/>
          <w:color w:val="auto"/>
          <w:szCs w:val="21"/>
          <w:lang w:val="en-US" w:eastAsia="zh-CN"/>
        </w:rPr>
        <w:t>3</w:t>
      </w:r>
      <w:r>
        <w:rPr>
          <w:rFonts w:hint="eastAsia" w:ascii="宋体" w:hAnsi="宋体"/>
          <w:color w:val="auto"/>
          <w:szCs w:val="21"/>
        </w:rPr>
        <w:t>0</w:t>
      </w:r>
      <w:bookmarkStart w:id="127" w:name="_Toc461991253"/>
    </w:p>
    <w:p w14:paraId="71B05A28">
      <w:pPr>
        <w:pStyle w:val="2"/>
        <w:jc w:val="center"/>
        <w:rPr>
          <w:color w:val="auto"/>
          <w:sz w:val="32"/>
          <w:szCs w:val="32"/>
        </w:rPr>
      </w:pPr>
      <w:r>
        <w:rPr>
          <w:rFonts w:hint="eastAsia"/>
          <w:color w:val="auto"/>
          <w:sz w:val="32"/>
          <w:szCs w:val="32"/>
        </w:rPr>
        <w:t>第六章</w:t>
      </w:r>
      <w:bookmarkStart w:id="128" w:name="_Toc10525535"/>
      <w:r>
        <w:rPr>
          <w:rFonts w:hint="eastAsia"/>
          <w:color w:val="auto"/>
          <w:sz w:val="32"/>
          <w:szCs w:val="32"/>
        </w:rPr>
        <w:t xml:space="preserve"> 响应文件</w:t>
      </w:r>
      <w:bookmarkEnd w:id="128"/>
      <w:r>
        <w:rPr>
          <w:rFonts w:hint="eastAsia"/>
          <w:color w:val="auto"/>
          <w:sz w:val="32"/>
          <w:szCs w:val="32"/>
        </w:rPr>
        <w:t>格式</w:t>
      </w:r>
      <w:bookmarkEnd w:id="127"/>
    </w:p>
    <w:p w14:paraId="0474432A">
      <w:pPr>
        <w:snapToGrid w:val="0"/>
        <w:ind w:left="420" w:leftChars="200" w:right="647" w:rightChars="308"/>
        <w:jc w:val="center"/>
        <w:rPr>
          <w:rFonts w:ascii="微软雅黑" w:hAnsi="微软雅黑" w:eastAsia="微软雅黑" w:cs="黑体"/>
          <w:color w:val="auto"/>
          <w:sz w:val="24"/>
          <w:szCs w:val="48"/>
        </w:rPr>
      </w:pPr>
      <w:bookmarkStart w:id="129" w:name="_Toc17252701"/>
      <w:bookmarkStart w:id="130" w:name="_Toc30476681"/>
      <w:bookmarkStart w:id="131" w:name="_Toc43548084"/>
      <w:bookmarkStart w:id="132" w:name="_Toc14450840"/>
      <w:bookmarkStart w:id="133" w:name="_Toc231010435"/>
      <w:bookmarkStart w:id="134" w:name="_Toc30476685"/>
      <w:r>
        <w:rPr>
          <w:rFonts w:hint="eastAsia" w:ascii="微软雅黑" w:hAnsi="微软雅黑" w:eastAsia="微软雅黑" w:cs="黑体"/>
          <w:color w:val="auto"/>
          <w:sz w:val="36"/>
          <w:szCs w:val="72"/>
          <w:lang w:eastAsia="zh-CN"/>
        </w:rPr>
        <w:t>广裕集团韶关北江实业有限责任公司收押中心（首层）改造车间项目</w:t>
      </w:r>
    </w:p>
    <w:p w14:paraId="705A3F1B">
      <w:pPr>
        <w:rPr>
          <w:rFonts w:hint="eastAsia" w:ascii="微软雅黑" w:hAnsi="微软雅黑" w:eastAsia="微软雅黑" w:cs="微软雅黑"/>
          <w:color w:val="auto"/>
          <w:w w:val="150"/>
          <w:sz w:val="72"/>
          <w:szCs w:val="72"/>
          <w:lang w:eastAsia="zh-CN"/>
        </w:rPr>
      </w:pPr>
      <w:r>
        <w:rPr>
          <w:rFonts w:ascii="微软雅黑" w:hAnsi="微软雅黑" w:eastAsia="微软雅黑"/>
          <w:color w:val="auto"/>
          <w:sz w:val="28"/>
          <w:szCs w:val="28"/>
        </w:rPr>
        <w:t xml:space="preserve">              </w:t>
      </w:r>
      <w:r>
        <w:rPr>
          <w:rFonts w:hint="eastAsia" w:ascii="微软雅黑" w:hAnsi="微软雅黑" w:eastAsia="微软雅黑" w:cs="微软雅黑"/>
          <w:color w:val="auto"/>
          <w:sz w:val="36"/>
        </w:rPr>
        <w:t>项目编号：</w:t>
      </w:r>
      <w:r>
        <w:rPr>
          <w:rFonts w:hint="eastAsia" w:ascii="微软雅黑" w:hAnsi="微软雅黑" w:eastAsia="微软雅黑" w:cs="微软雅黑"/>
          <w:color w:val="auto"/>
          <w:sz w:val="36"/>
          <w:lang w:eastAsia="zh-CN"/>
        </w:rPr>
        <w:t>202504027109030</w:t>
      </w:r>
    </w:p>
    <w:p w14:paraId="3F115AA3">
      <w:pPr>
        <w:pStyle w:val="18"/>
        <w:tabs>
          <w:tab w:val="left" w:pos="1260"/>
        </w:tabs>
        <w:jc w:val="center"/>
        <w:rPr>
          <w:rFonts w:ascii="微软雅黑" w:hAnsi="微软雅黑" w:eastAsia="微软雅黑" w:cs="黑体"/>
          <w:color w:val="auto"/>
          <w:kern w:val="0"/>
          <w:sz w:val="72"/>
          <w:szCs w:val="72"/>
        </w:rPr>
      </w:pPr>
    </w:p>
    <w:p w14:paraId="19F3E5F2">
      <w:pPr>
        <w:pStyle w:val="18"/>
        <w:tabs>
          <w:tab w:val="left" w:pos="1260"/>
        </w:tabs>
        <w:jc w:val="center"/>
        <w:rPr>
          <w:rFonts w:ascii="微软雅黑" w:hAnsi="微软雅黑" w:eastAsia="微软雅黑" w:cs="黑体"/>
          <w:color w:val="auto"/>
          <w:kern w:val="0"/>
          <w:sz w:val="72"/>
          <w:szCs w:val="72"/>
        </w:rPr>
      </w:pPr>
      <w:r>
        <w:rPr>
          <w:rFonts w:hint="eastAsia" w:ascii="微软雅黑" w:hAnsi="微软雅黑" w:eastAsia="微软雅黑" w:cs="黑体"/>
          <w:color w:val="auto"/>
          <w:kern w:val="0"/>
          <w:sz w:val="72"/>
          <w:szCs w:val="72"/>
        </w:rPr>
        <w:t>响</w:t>
      </w:r>
    </w:p>
    <w:p w14:paraId="3EA8C318">
      <w:pPr>
        <w:pStyle w:val="18"/>
        <w:tabs>
          <w:tab w:val="left" w:pos="1260"/>
        </w:tabs>
        <w:jc w:val="center"/>
        <w:rPr>
          <w:rFonts w:ascii="微软雅黑" w:hAnsi="微软雅黑" w:eastAsia="微软雅黑" w:cs="黑体"/>
          <w:color w:val="auto"/>
          <w:kern w:val="0"/>
          <w:sz w:val="72"/>
          <w:szCs w:val="72"/>
        </w:rPr>
      </w:pPr>
      <w:r>
        <w:rPr>
          <w:rFonts w:hint="eastAsia" w:ascii="微软雅黑" w:hAnsi="微软雅黑" w:eastAsia="微软雅黑" w:cs="黑体"/>
          <w:color w:val="auto"/>
          <w:kern w:val="0"/>
          <w:sz w:val="72"/>
          <w:szCs w:val="72"/>
        </w:rPr>
        <w:t>应</w:t>
      </w:r>
    </w:p>
    <w:p w14:paraId="33BCA9A0">
      <w:pPr>
        <w:pStyle w:val="18"/>
        <w:tabs>
          <w:tab w:val="left" w:pos="1260"/>
        </w:tabs>
        <w:jc w:val="center"/>
        <w:rPr>
          <w:rFonts w:ascii="微软雅黑" w:hAnsi="微软雅黑" w:eastAsia="微软雅黑" w:cs="黑体"/>
          <w:color w:val="auto"/>
          <w:kern w:val="0"/>
          <w:sz w:val="72"/>
          <w:szCs w:val="72"/>
        </w:rPr>
      </w:pPr>
      <w:r>
        <w:rPr>
          <w:rFonts w:hint="eastAsia" w:ascii="微软雅黑" w:hAnsi="微软雅黑" w:eastAsia="微软雅黑" w:cs="黑体"/>
          <w:color w:val="auto"/>
          <w:kern w:val="0"/>
          <w:sz w:val="72"/>
          <w:szCs w:val="72"/>
        </w:rPr>
        <w:t>文</w:t>
      </w:r>
    </w:p>
    <w:p w14:paraId="11BB26A7">
      <w:pPr>
        <w:pStyle w:val="18"/>
        <w:tabs>
          <w:tab w:val="left" w:pos="1260"/>
        </w:tabs>
        <w:jc w:val="center"/>
        <w:rPr>
          <w:rFonts w:ascii="微软雅黑" w:hAnsi="微软雅黑" w:eastAsia="微软雅黑" w:cs="黑体"/>
          <w:color w:val="auto"/>
          <w:kern w:val="0"/>
          <w:sz w:val="72"/>
          <w:szCs w:val="72"/>
        </w:rPr>
      </w:pPr>
      <w:r>
        <w:rPr>
          <w:rFonts w:hint="eastAsia" w:ascii="微软雅黑" w:hAnsi="微软雅黑" w:eastAsia="微软雅黑" w:cs="黑体"/>
          <w:color w:val="auto"/>
          <w:kern w:val="0"/>
          <w:sz w:val="72"/>
          <w:szCs w:val="72"/>
        </w:rPr>
        <w:t>件</w:t>
      </w:r>
    </w:p>
    <w:p w14:paraId="2B50AF3B">
      <w:pPr>
        <w:pStyle w:val="18"/>
        <w:jc w:val="center"/>
        <w:rPr>
          <w:rFonts w:ascii="微软雅黑" w:hAnsi="微软雅黑" w:eastAsia="微软雅黑"/>
          <w:color w:val="auto"/>
          <w:sz w:val="48"/>
          <w:szCs w:val="48"/>
        </w:rPr>
      </w:pPr>
      <w:r>
        <w:rPr>
          <w:rFonts w:hint="eastAsia" w:ascii="微软雅黑" w:hAnsi="微软雅黑" w:eastAsia="微软雅黑"/>
          <w:color w:val="auto"/>
          <w:sz w:val="48"/>
          <w:szCs w:val="48"/>
        </w:rPr>
        <w:t>（正本</w:t>
      </w:r>
      <w:r>
        <w:rPr>
          <w:rFonts w:ascii="微软雅黑" w:hAnsi="微软雅黑" w:eastAsia="微软雅黑"/>
          <w:color w:val="auto"/>
          <w:sz w:val="48"/>
          <w:szCs w:val="48"/>
        </w:rPr>
        <w:t>/</w:t>
      </w:r>
      <w:r>
        <w:rPr>
          <w:rFonts w:hint="eastAsia" w:ascii="微软雅黑" w:hAnsi="微软雅黑" w:eastAsia="微软雅黑"/>
          <w:color w:val="auto"/>
          <w:sz w:val="48"/>
          <w:szCs w:val="48"/>
        </w:rPr>
        <w:t>副本）</w:t>
      </w:r>
    </w:p>
    <w:p w14:paraId="336A7986">
      <w:pPr>
        <w:pStyle w:val="18"/>
        <w:spacing w:line="360" w:lineRule="auto"/>
        <w:rPr>
          <w:rFonts w:ascii="微软雅黑" w:hAnsi="微软雅黑" w:eastAsia="微软雅黑"/>
          <w:color w:val="auto"/>
          <w:sz w:val="28"/>
          <w:szCs w:val="28"/>
        </w:rPr>
      </w:pPr>
    </w:p>
    <w:p w14:paraId="669CB5BA">
      <w:pPr>
        <w:pStyle w:val="18"/>
        <w:spacing w:line="360" w:lineRule="auto"/>
        <w:ind w:firstLine="1932" w:firstLineChars="690"/>
        <w:rPr>
          <w:rFonts w:ascii="微软雅黑" w:hAnsi="微软雅黑" w:eastAsia="微软雅黑"/>
          <w:bCs/>
          <w:color w:val="auto"/>
          <w:sz w:val="28"/>
          <w:szCs w:val="28"/>
          <w:u w:val="single"/>
        </w:rPr>
      </w:pPr>
      <w:r>
        <w:rPr>
          <w:rFonts w:hint="eastAsia" w:ascii="微软雅黑" w:hAnsi="微软雅黑" w:eastAsia="微软雅黑"/>
          <w:bCs/>
          <w:color w:val="auto"/>
          <w:sz w:val="28"/>
          <w:szCs w:val="28"/>
        </w:rPr>
        <w:t>响应供应商名称（章）：</w:t>
      </w:r>
      <w:r>
        <w:rPr>
          <w:rFonts w:ascii="微软雅黑" w:hAnsi="微软雅黑" w:eastAsia="微软雅黑"/>
          <w:bCs/>
          <w:color w:val="auto"/>
          <w:sz w:val="28"/>
          <w:szCs w:val="28"/>
          <w:u w:val="single"/>
        </w:rPr>
        <w:t xml:space="preserve">                     </w:t>
      </w:r>
    </w:p>
    <w:p w14:paraId="720F588E">
      <w:pPr>
        <w:pStyle w:val="18"/>
        <w:spacing w:line="360" w:lineRule="auto"/>
        <w:ind w:firstLine="1932" w:firstLineChars="690"/>
        <w:rPr>
          <w:rFonts w:ascii="微软雅黑" w:hAnsi="微软雅黑" w:eastAsia="微软雅黑"/>
          <w:bCs/>
          <w:color w:val="auto"/>
          <w:sz w:val="28"/>
          <w:szCs w:val="28"/>
        </w:rPr>
      </w:pPr>
      <w:r>
        <w:rPr>
          <w:rFonts w:hint="eastAsia" w:ascii="微软雅黑" w:hAnsi="微软雅黑" w:eastAsia="微软雅黑"/>
          <w:bCs/>
          <w:color w:val="auto"/>
          <w:sz w:val="28"/>
          <w:szCs w:val="28"/>
        </w:rPr>
        <w:t>地</w:t>
      </w:r>
      <w:r>
        <w:rPr>
          <w:rFonts w:ascii="微软雅黑" w:hAnsi="微软雅黑" w:eastAsia="微软雅黑"/>
          <w:bCs/>
          <w:color w:val="auto"/>
          <w:sz w:val="28"/>
          <w:szCs w:val="28"/>
        </w:rPr>
        <w:t xml:space="preserve">     </w:t>
      </w:r>
      <w:r>
        <w:rPr>
          <w:rFonts w:hint="eastAsia" w:ascii="微软雅黑" w:hAnsi="微软雅黑" w:eastAsia="微软雅黑"/>
          <w:bCs/>
          <w:color w:val="auto"/>
          <w:sz w:val="28"/>
          <w:szCs w:val="28"/>
        </w:rPr>
        <w:t>址：</w:t>
      </w:r>
      <w:r>
        <w:rPr>
          <w:rFonts w:ascii="微软雅黑" w:hAnsi="微软雅黑" w:eastAsia="微软雅黑"/>
          <w:bCs/>
          <w:color w:val="auto"/>
          <w:sz w:val="28"/>
          <w:szCs w:val="28"/>
          <w:u w:val="single"/>
        </w:rPr>
        <w:t xml:space="preserve">                          </w:t>
      </w:r>
      <w:r>
        <w:rPr>
          <w:rFonts w:ascii="微软雅黑" w:hAnsi="微软雅黑" w:eastAsia="微软雅黑"/>
          <w:bCs/>
          <w:color w:val="auto"/>
          <w:sz w:val="28"/>
          <w:szCs w:val="28"/>
        </w:rPr>
        <w:t xml:space="preserve">                      </w:t>
      </w:r>
    </w:p>
    <w:p w14:paraId="23D0A4A6">
      <w:pPr>
        <w:pStyle w:val="18"/>
        <w:spacing w:line="360" w:lineRule="auto"/>
        <w:ind w:firstLine="1932" w:firstLineChars="690"/>
        <w:rPr>
          <w:rFonts w:ascii="微软雅黑" w:hAnsi="微软雅黑" w:eastAsia="微软雅黑"/>
          <w:bCs/>
          <w:color w:val="auto"/>
          <w:sz w:val="28"/>
          <w:szCs w:val="28"/>
        </w:rPr>
      </w:pPr>
      <w:r>
        <w:rPr>
          <w:rFonts w:hint="eastAsia" w:ascii="微软雅黑" w:hAnsi="微软雅黑" w:eastAsia="微软雅黑"/>
          <w:bCs/>
          <w:color w:val="auto"/>
          <w:sz w:val="28"/>
          <w:szCs w:val="28"/>
        </w:rPr>
        <w:t>电</w:t>
      </w:r>
      <w:r>
        <w:rPr>
          <w:rFonts w:ascii="微软雅黑" w:hAnsi="微软雅黑" w:eastAsia="微软雅黑"/>
          <w:bCs/>
          <w:color w:val="auto"/>
          <w:sz w:val="28"/>
          <w:szCs w:val="28"/>
        </w:rPr>
        <w:t xml:space="preserve">    </w:t>
      </w:r>
      <w:r>
        <w:rPr>
          <w:rFonts w:hint="eastAsia" w:ascii="微软雅黑" w:hAnsi="微软雅黑" w:eastAsia="微软雅黑"/>
          <w:bCs/>
          <w:color w:val="auto"/>
          <w:sz w:val="28"/>
          <w:szCs w:val="28"/>
        </w:rPr>
        <w:t>话：</w:t>
      </w:r>
      <w:r>
        <w:rPr>
          <w:rFonts w:ascii="微软雅黑" w:hAnsi="微软雅黑" w:eastAsia="微软雅黑"/>
          <w:bCs/>
          <w:color w:val="auto"/>
          <w:sz w:val="28"/>
          <w:szCs w:val="28"/>
          <w:u w:val="single"/>
        </w:rPr>
        <w:t xml:space="preserve">                           </w:t>
      </w:r>
      <w:r>
        <w:rPr>
          <w:rFonts w:ascii="微软雅黑" w:hAnsi="微软雅黑" w:eastAsia="微软雅黑"/>
          <w:bCs/>
          <w:color w:val="auto"/>
          <w:sz w:val="28"/>
          <w:szCs w:val="28"/>
        </w:rPr>
        <w:t xml:space="preserve">                      </w:t>
      </w:r>
    </w:p>
    <w:p w14:paraId="6605FFF1">
      <w:pPr>
        <w:autoSpaceDE w:val="0"/>
        <w:autoSpaceDN w:val="0"/>
        <w:spacing w:line="240" w:lineRule="atLeast"/>
        <w:ind w:firstLine="1934" w:firstLineChars="691"/>
        <w:rPr>
          <w:rFonts w:ascii="微软雅黑" w:hAnsi="微软雅黑" w:eastAsia="微软雅黑"/>
          <w:bCs/>
          <w:color w:val="auto"/>
          <w:sz w:val="28"/>
          <w:szCs w:val="28"/>
        </w:rPr>
      </w:pPr>
      <w:r>
        <w:rPr>
          <w:rFonts w:hint="eastAsia" w:ascii="微软雅黑" w:hAnsi="微软雅黑" w:eastAsia="微软雅黑"/>
          <w:bCs/>
          <w:color w:val="auto"/>
          <w:sz w:val="28"/>
          <w:szCs w:val="28"/>
        </w:rPr>
        <w:t>日期：</w:t>
      </w:r>
      <w:r>
        <w:rPr>
          <w:rFonts w:ascii="微软雅黑" w:hAnsi="微软雅黑" w:eastAsia="微软雅黑"/>
          <w:bCs/>
          <w:color w:val="auto"/>
          <w:sz w:val="28"/>
          <w:szCs w:val="28"/>
          <w:u w:val="single"/>
        </w:rPr>
        <w:t xml:space="preserve">       </w:t>
      </w:r>
      <w:r>
        <w:rPr>
          <w:rFonts w:hint="eastAsia" w:ascii="微软雅黑" w:hAnsi="微软雅黑" w:eastAsia="微软雅黑"/>
          <w:bCs/>
          <w:color w:val="auto"/>
          <w:sz w:val="28"/>
          <w:szCs w:val="28"/>
        </w:rPr>
        <w:t>年</w:t>
      </w:r>
      <w:r>
        <w:rPr>
          <w:rFonts w:ascii="微软雅黑" w:hAnsi="微软雅黑" w:eastAsia="微软雅黑"/>
          <w:bCs/>
          <w:color w:val="auto"/>
          <w:sz w:val="28"/>
          <w:szCs w:val="28"/>
          <w:u w:val="single"/>
        </w:rPr>
        <w:t xml:space="preserve">      </w:t>
      </w:r>
      <w:r>
        <w:rPr>
          <w:rFonts w:hint="eastAsia" w:ascii="微软雅黑" w:hAnsi="微软雅黑" w:eastAsia="微软雅黑"/>
          <w:bCs/>
          <w:color w:val="auto"/>
          <w:sz w:val="28"/>
          <w:szCs w:val="28"/>
        </w:rPr>
        <w:t>月</w:t>
      </w:r>
      <w:r>
        <w:rPr>
          <w:rFonts w:ascii="微软雅黑" w:hAnsi="微软雅黑" w:eastAsia="微软雅黑"/>
          <w:bCs/>
          <w:color w:val="auto"/>
          <w:sz w:val="28"/>
          <w:szCs w:val="28"/>
          <w:u w:val="single"/>
        </w:rPr>
        <w:t xml:space="preserve">      </w:t>
      </w:r>
      <w:r>
        <w:rPr>
          <w:rFonts w:hint="eastAsia" w:ascii="微软雅黑" w:hAnsi="微软雅黑" w:eastAsia="微软雅黑"/>
          <w:bCs/>
          <w:color w:val="auto"/>
          <w:sz w:val="28"/>
          <w:szCs w:val="28"/>
        </w:rPr>
        <w:t>日</w:t>
      </w:r>
    </w:p>
    <w:p w14:paraId="5E43E273">
      <w:pPr>
        <w:pStyle w:val="43"/>
        <w:rPr>
          <w:bCs/>
          <w:color w:val="auto"/>
        </w:rPr>
      </w:pPr>
    </w:p>
    <w:p w14:paraId="2FAB6700">
      <w:pPr>
        <w:pStyle w:val="43"/>
        <w:rPr>
          <w:bCs/>
          <w:color w:val="auto"/>
        </w:rPr>
      </w:pPr>
      <w:r>
        <w:rPr>
          <w:bCs/>
          <w:color w:val="auto"/>
        </w:rPr>
        <w:br w:type="page"/>
      </w:r>
    </w:p>
    <w:bookmarkEnd w:id="129"/>
    <w:bookmarkEnd w:id="130"/>
    <w:bookmarkEnd w:id="131"/>
    <w:bookmarkEnd w:id="132"/>
    <w:bookmarkEnd w:id="133"/>
    <w:bookmarkEnd w:id="134"/>
    <w:p w14:paraId="3D485157">
      <w:pPr>
        <w:spacing w:line="360" w:lineRule="auto"/>
        <w:rPr>
          <w:b/>
          <w:color w:val="auto"/>
          <w:sz w:val="24"/>
          <w:szCs w:val="24"/>
        </w:rPr>
      </w:pPr>
      <w:r>
        <w:rPr>
          <w:rFonts w:hint="eastAsia"/>
          <w:b/>
          <w:color w:val="auto"/>
          <w:sz w:val="24"/>
          <w:szCs w:val="24"/>
        </w:rPr>
        <w:t>一、响应文件目录表</w:t>
      </w:r>
    </w:p>
    <w:tbl>
      <w:tblPr>
        <w:tblStyle w:val="36"/>
        <w:tblW w:w="9440" w:type="dxa"/>
        <w:tblInd w:w="0" w:type="dxa"/>
        <w:tblLayout w:type="fixed"/>
        <w:tblCellMar>
          <w:top w:w="0" w:type="dxa"/>
          <w:left w:w="108" w:type="dxa"/>
          <w:bottom w:w="0" w:type="dxa"/>
          <w:right w:w="108" w:type="dxa"/>
        </w:tblCellMar>
      </w:tblPr>
      <w:tblGrid>
        <w:gridCol w:w="675"/>
        <w:gridCol w:w="6952"/>
        <w:gridCol w:w="725"/>
        <w:gridCol w:w="726"/>
        <w:gridCol w:w="362"/>
      </w:tblGrid>
      <w:tr w14:paraId="04863F81">
        <w:tblPrEx>
          <w:tblCellMar>
            <w:top w:w="0" w:type="dxa"/>
            <w:left w:w="108" w:type="dxa"/>
            <w:bottom w:w="0" w:type="dxa"/>
            <w:right w:w="108" w:type="dxa"/>
          </w:tblCellMar>
        </w:tblPrEx>
        <w:trPr>
          <w:trHeight w:val="425" w:hRule="atLeast"/>
        </w:trPr>
        <w:tc>
          <w:tcPr>
            <w:tcW w:w="675" w:type="dxa"/>
            <w:tcBorders>
              <w:top w:val="single" w:color="auto" w:sz="4" w:space="0"/>
              <w:left w:val="single" w:color="auto" w:sz="4" w:space="0"/>
              <w:bottom w:val="single" w:color="auto" w:sz="4" w:space="0"/>
              <w:right w:val="single" w:color="auto" w:sz="4" w:space="0"/>
            </w:tcBorders>
            <w:vAlign w:val="center"/>
          </w:tcPr>
          <w:p w14:paraId="50BEFBE8">
            <w:pPr>
              <w:jc w:val="center"/>
              <w:rPr>
                <w:rFonts w:ascii="宋体" w:hAnsi="宋体" w:cs="宋体"/>
                <w:b/>
                <w:bCs/>
                <w:color w:val="auto"/>
                <w:szCs w:val="21"/>
              </w:rPr>
            </w:pPr>
            <w:r>
              <w:rPr>
                <w:rFonts w:hint="eastAsia" w:ascii="宋体" w:hAnsi="宋体" w:cs="宋体"/>
                <w:b/>
                <w:bCs/>
                <w:color w:val="auto"/>
                <w:szCs w:val="21"/>
              </w:rPr>
              <w:t>序号</w:t>
            </w:r>
          </w:p>
        </w:tc>
        <w:tc>
          <w:tcPr>
            <w:tcW w:w="6952" w:type="dxa"/>
            <w:tcBorders>
              <w:top w:val="single" w:color="auto" w:sz="4" w:space="0"/>
              <w:left w:val="nil"/>
              <w:bottom w:val="single" w:color="auto" w:sz="4" w:space="0"/>
              <w:right w:val="single" w:color="auto" w:sz="4" w:space="0"/>
            </w:tcBorders>
            <w:vAlign w:val="center"/>
          </w:tcPr>
          <w:p w14:paraId="2AAB88C7">
            <w:pPr>
              <w:jc w:val="center"/>
              <w:rPr>
                <w:rFonts w:ascii="宋体" w:hAnsi="宋体" w:cs="宋体"/>
                <w:b/>
                <w:bCs/>
                <w:color w:val="auto"/>
                <w:szCs w:val="21"/>
              </w:rPr>
            </w:pPr>
            <w:r>
              <w:rPr>
                <w:rFonts w:hint="eastAsia" w:ascii="宋体" w:hAnsi="宋体" w:cs="宋体"/>
                <w:b/>
                <w:bCs/>
                <w:color w:val="auto"/>
                <w:szCs w:val="21"/>
              </w:rPr>
              <w:t>内</w:t>
            </w:r>
            <w:r>
              <w:rPr>
                <w:rFonts w:ascii="宋体" w:hAnsi="宋体"/>
                <w:b/>
                <w:bCs/>
                <w:color w:val="auto"/>
                <w:szCs w:val="21"/>
              </w:rPr>
              <w:t xml:space="preserve">      </w:t>
            </w:r>
            <w:r>
              <w:rPr>
                <w:rFonts w:hint="eastAsia" w:ascii="宋体" w:hAnsi="宋体" w:cs="宋体"/>
                <w:b/>
                <w:bCs/>
                <w:color w:val="auto"/>
                <w:szCs w:val="21"/>
              </w:rPr>
              <w:t>容</w:t>
            </w:r>
          </w:p>
        </w:tc>
        <w:tc>
          <w:tcPr>
            <w:tcW w:w="725" w:type="dxa"/>
            <w:tcBorders>
              <w:top w:val="single" w:color="auto" w:sz="4" w:space="0"/>
              <w:left w:val="nil"/>
              <w:bottom w:val="single" w:color="auto" w:sz="4" w:space="0"/>
              <w:right w:val="single" w:color="auto" w:sz="4" w:space="0"/>
            </w:tcBorders>
            <w:vAlign w:val="bottom"/>
          </w:tcPr>
          <w:p w14:paraId="0A23BBCF">
            <w:pPr>
              <w:jc w:val="center"/>
              <w:rPr>
                <w:rFonts w:ascii="宋体" w:hAnsi="宋体" w:cs="宋体"/>
                <w:b/>
                <w:bCs/>
                <w:color w:val="auto"/>
                <w:szCs w:val="21"/>
              </w:rPr>
            </w:pPr>
            <w:r>
              <w:rPr>
                <w:rFonts w:hint="eastAsia" w:ascii="宋体" w:hAnsi="宋体" w:cs="宋体"/>
                <w:b/>
                <w:bCs/>
                <w:color w:val="auto"/>
                <w:szCs w:val="21"/>
              </w:rPr>
              <w:t>是否提交</w:t>
            </w:r>
          </w:p>
        </w:tc>
        <w:tc>
          <w:tcPr>
            <w:tcW w:w="726" w:type="dxa"/>
            <w:tcBorders>
              <w:top w:val="single" w:color="auto" w:sz="4" w:space="0"/>
              <w:left w:val="nil"/>
              <w:bottom w:val="single" w:color="auto" w:sz="4" w:space="0"/>
              <w:right w:val="single" w:color="auto" w:sz="4" w:space="0"/>
            </w:tcBorders>
            <w:vAlign w:val="bottom"/>
          </w:tcPr>
          <w:p w14:paraId="77CCD786">
            <w:pPr>
              <w:jc w:val="center"/>
              <w:rPr>
                <w:rFonts w:ascii="宋体" w:hAnsi="宋体" w:cs="宋体"/>
                <w:b/>
                <w:bCs/>
                <w:color w:val="auto"/>
                <w:szCs w:val="21"/>
              </w:rPr>
            </w:pPr>
            <w:r>
              <w:rPr>
                <w:rFonts w:hint="eastAsia" w:ascii="宋体" w:hAnsi="宋体" w:cs="宋体"/>
                <w:b/>
                <w:bCs/>
                <w:color w:val="auto"/>
                <w:szCs w:val="21"/>
              </w:rPr>
              <w:t>页码范围</w:t>
            </w:r>
          </w:p>
        </w:tc>
        <w:tc>
          <w:tcPr>
            <w:tcW w:w="362" w:type="dxa"/>
            <w:tcBorders>
              <w:top w:val="single" w:color="auto" w:sz="4" w:space="0"/>
              <w:left w:val="nil"/>
              <w:bottom w:val="single" w:color="auto" w:sz="4" w:space="0"/>
              <w:right w:val="single" w:color="auto" w:sz="4" w:space="0"/>
            </w:tcBorders>
            <w:vAlign w:val="center"/>
          </w:tcPr>
          <w:p w14:paraId="07174E89">
            <w:pPr>
              <w:jc w:val="center"/>
              <w:rPr>
                <w:rFonts w:ascii="宋体" w:hAnsi="宋体" w:cs="宋体"/>
                <w:b/>
                <w:bCs/>
                <w:color w:val="auto"/>
                <w:szCs w:val="21"/>
              </w:rPr>
            </w:pPr>
            <w:r>
              <w:rPr>
                <w:rFonts w:hint="eastAsia" w:ascii="宋体" w:hAnsi="宋体" w:cs="宋体"/>
                <w:b/>
                <w:bCs/>
                <w:color w:val="auto"/>
                <w:szCs w:val="21"/>
              </w:rPr>
              <w:t>备注</w:t>
            </w:r>
          </w:p>
        </w:tc>
      </w:tr>
      <w:tr w14:paraId="2C9E26B7">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15CD87FD">
            <w:pPr>
              <w:rPr>
                <w:rFonts w:ascii="宋体" w:hAnsi="宋体" w:cs="宋体"/>
                <w:b/>
                <w:bCs/>
                <w:color w:val="auto"/>
                <w:szCs w:val="21"/>
              </w:rPr>
            </w:pPr>
            <w:r>
              <w:rPr>
                <w:rFonts w:hint="eastAsia" w:ascii="宋体" w:hAnsi="宋体" w:cs="宋体"/>
                <w:b/>
                <w:bCs/>
                <w:color w:val="auto"/>
                <w:szCs w:val="21"/>
              </w:rPr>
              <w:t>一</w:t>
            </w:r>
          </w:p>
        </w:tc>
        <w:tc>
          <w:tcPr>
            <w:tcW w:w="6952" w:type="dxa"/>
            <w:tcBorders>
              <w:top w:val="single" w:color="auto" w:sz="4" w:space="0"/>
              <w:left w:val="nil"/>
              <w:bottom w:val="single" w:color="auto" w:sz="4" w:space="0"/>
              <w:right w:val="single" w:color="auto" w:sz="4" w:space="0"/>
            </w:tcBorders>
            <w:vAlign w:val="center"/>
          </w:tcPr>
          <w:p w14:paraId="6F9548F8">
            <w:pPr>
              <w:rPr>
                <w:rFonts w:ascii="宋体" w:hAnsi="宋体" w:cs="宋体"/>
                <w:b/>
                <w:bCs/>
                <w:color w:val="auto"/>
                <w:szCs w:val="21"/>
              </w:rPr>
            </w:pPr>
            <w:r>
              <w:rPr>
                <w:rFonts w:hint="eastAsia" w:ascii="宋体" w:hAnsi="宋体" w:cs="宋体"/>
                <w:b/>
                <w:bCs/>
                <w:color w:val="auto"/>
                <w:szCs w:val="21"/>
              </w:rPr>
              <w:t>投标报价文件</w:t>
            </w:r>
          </w:p>
        </w:tc>
        <w:tc>
          <w:tcPr>
            <w:tcW w:w="725" w:type="dxa"/>
            <w:tcBorders>
              <w:top w:val="single" w:color="auto" w:sz="4" w:space="0"/>
              <w:left w:val="nil"/>
              <w:bottom w:val="single" w:color="auto" w:sz="4" w:space="0"/>
              <w:right w:val="single" w:color="auto" w:sz="4" w:space="0"/>
            </w:tcBorders>
            <w:vAlign w:val="bottom"/>
          </w:tcPr>
          <w:p w14:paraId="533A9C31">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57683904">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0395C18A">
            <w:pPr>
              <w:jc w:val="center"/>
              <w:rPr>
                <w:rFonts w:ascii="宋体" w:hAnsi="宋体" w:cs="宋体"/>
                <w:b/>
                <w:bCs/>
                <w:color w:val="auto"/>
                <w:szCs w:val="21"/>
              </w:rPr>
            </w:pPr>
          </w:p>
        </w:tc>
      </w:tr>
      <w:tr w14:paraId="3A1DBEDD">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29667DC5">
            <w:pPr>
              <w:rPr>
                <w:rFonts w:ascii="宋体" w:hAnsi="宋体" w:cs="宋体"/>
                <w:color w:val="auto"/>
                <w:szCs w:val="21"/>
              </w:rPr>
            </w:pPr>
            <w:r>
              <w:rPr>
                <w:rFonts w:hint="eastAsia" w:ascii="宋体" w:hAnsi="宋体" w:cs="宋体"/>
                <w:color w:val="auto"/>
                <w:szCs w:val="21"/>
              </w:rPr>
              <w:t>1.1</w:t>
            </w:r>
          </w:p>
        </w:tc>
        <w:tc>
          <w:tcPr>
            <w:tcW w:w="6952" w:type="dxa"/>
            <w:tcBorders>
              <w:top w:val="single" w:color="auto" w:sz="4" w:space="0"/>
              <w:left w:val="nil"/>
              <w:bottom w:val="single" w:color="auto" w:sz="4" w:space="0"/>
              <w:right w:val="single" w:color="auto" w:sz="4" w:space="0"/>
            </w:tcBorders>
            <w:vAlign w:val="center"/>
          </w:tcPr>
          <w:p w14:paraId="139F1D33">
            <w:pPr>
              <w:rPr>
                <w:rFonts w:ascii="宋体" w:hAnsi="宋体" w:cs="宋体"/>
                <w:b/>
                <w:bCs/>
                <w:color w:val="auto"/>
                <w:szCs w:val="21"/>
              </w:rPr>
            </w:pPr>
            <w:r>
              <w:rPr>
                <w:rFonts w:hint="eastAsia" w:ascii="宋体" w:hAnsi="宋体" w:cs="宋体"/>
                <w:color w:val="auto"/>
                <w:szCs w:val="21"/>
              </w:rPr>
              <w:t>磋商函（格式</w:t>
            </w:r>
            <w:r>
              <w:rPr>
                <w:rFonts w:ascii="宋体" w:hAnsi="宋体"/>
                <w:color w:val="auto"/>
                <w:szCs w:val="21"/>
              </w:rPr>
              <w:t>1</w:t>
            </w:r>
            <w:r>
              <w:rPr>
                <w:rFonts w:hint="eastAsia" w:ascii="宋体" w:hAnsi="宋体" w:cs="宋体"/>
                <w:color w:val="auto"/>
                <w:szCs w:val="21"/>
              </w:rPr>
              <w:t>）</w:t>
            </w:r>
          </w:p>
        </w:tc>
        <w:tc>
          <w:tcPr>
            <w:tcW w:w="725" w:type="dxa"/>
            <w:tcBorders>
              <w:top w:val="single" w:color="auto" w:sz="4" w:space="0"/>
              <w:left w:val="nil"/>
              <w:bottom w:val="single" w:color="auto" w:sz="4" w:space="0"/>
              <w:right w:val="single" w:color="auto" w:sz="4" w:space="0"/>
            </w:tcBorders>
            <w:vAlign w:val="bottom"/>
          </w:tcPr>
          <w:p w14:paraId="2202EF40">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DF9938F">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2D819C85">
            <w:pPr>
              <w:jc w:val="center"/>
              <w:rPr>
                <w:rFonts w:ascii="宋体" w:hAnsi="宋体" w:cs="宋体"/>
                <w:b/>
                <w:bCs/>
                <w:color w:val="auto"/>
                <w:szCs w:val="21"/>
              </w:rPr>
            </w:pPr>
          </w:p>
        </w:tc>
      </w:tr>
      <w:tr w14:paraId="73B7C356">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43F29124">
            <w:pPr>
              <w:rPr>
                <w:rFonts w:ascii="宋体" w:hAnsi="宋体" w:cs="宋体"/>
                <w:color w:val="auto"/>
                <w:szCs w:val="21"/>
              </w:rPr>
            </w:pPr>
            <w:r>
              <w:rPr>
                <w:rFonts w:hint="eastAsia" w:ascii="宋体" w:hAnsi="宋体" w:cs="宋体"/>
                <w:color w:val="auto"/>
                <w:szCs w:val="21"/>
              </w:rPr>
              <w:t>1.2</w:t>
            </w:r>
          </w:p>
        </w:tc>
        <w:tc>
          <w:tcPr>
            <w:tcW w:w="6952" w:type="dxa"/>
            <w:tcBorders>
              <w:top w:val="single" w:color="auto" w:sz="4" w:space="0"/>
              <w:left w:val="nil"/>
              <w:bottom w:val="single" w:color="auto" w:sz="4" w:space="0"/>
              <w:right w:val="single" w:color="auto" w:sz="4" w:space="0"/>
            </w:tcBorders>
            <w:vAlign w:val="center"/>
          </w:tcPr>
          <w:p w14:paraId="6AB50A5D">
            <w:pPr>
              <w:rPr>
                <w:rFonts w:ascii="宋体" w:hAnsi="宋体" w:cs="宋体"/>
                <w:color w:val="auto"/>
                <w:szCs w:val="21"/>
              </w:rPr>
            </w:pPr>
            <w:r>
              <w:rPr>
                <w:rFonts w:hint="eastAsia" w:ascii="宋体" w:hAnsi="宋体" w:cs="宋体"/>
                <w:color w:val="auto"/>
                <w:szCs w:val="21"/>
              </w:rPr>
              <w:t>首次报价一览表</w:t>
            </w:r>
            <w:r>
              <w:rPr>
                <w:rFonts w:ascii="宋体" w:hAnsi="宋体"/>
                <w:color w:val="auto"/>
                <w:szCs w:val="21"/>
              </w:rPr>
              <w:t>(</w:t>
            </w:r>
            <w:r>
              <w:rPr>
                <w:rFonts w:hint="eastAsia" w:ascii="宋体" w:hAnsi="宋体" w:cs="宋体"/>
                <w:color w:val="auto"/>
                <w:szCs w:val="21"/>
              </w:rPr>
              <w:t>格式</w:t>
            </w:r>
            <w:r>
              <w:rPr>
                <w:rFonts w:ascii="宋体" w:hAnsi="宋体"/>
                <w:color w:val="auto"/>
                <w:szCs w:val="21"/>
              </w:rPr>
              <w:t>2)</w:t>
            </w:r>
          </w:p>
        </w:tc>
        <w:tc>
          <w:tcPr>
            <w:tcW w:w="725" w:type="dxa"/>
            <w:tcBorders>
              <w:top w:val="single" w:color="auto" w:sz="4" w:space="0"/>
              <w:left w:val="nil"/>
              <w:bottom w:val="single" w:color="auto" w:sz="4" w:space="0"/>
              <w:right w:val="single" w:color="auto" w:sz="4" w:space="0"/>
            </w:tcBorders>
            <w:vAlign w:val="bottom"/>
          </w:tcPr>
          <w:p w14:paraId="0F343B70">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1B5ECE0C">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106E262E">
            <w:pPr>
              <w:jc w:val="center"/>
              <w:rPr>
                <w:rFonts w:ascii="宋体" w:hAnsi="宋体" w:cs="宋体"/>
                <w:b/>
                <w:bCs/>
                <w:color w:val="auto"/>
                <w:szCs w:val="21"/>
              </w:rPr>
            </w:pPr>
          </w:p>
        </w:tc>
      </w:tr>
      <w:tr w14:paraId="6B180C99">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1EF17168">
            <w:pPr>
              <w:rPr>
                <w:rFonts w:ascii="宋体" w:hAnsi="宋体" w:cs="宋体"/>
                <w:color w:val="auto"/>
                <w:szCs w:val="21"/>
              </w:rPr>
            </w:pPr>
            <w:r>
              <w:rPr>
                <w:rFonts w:hint="eastAsia" w:ascii="宋体" w:hAnsi="宋体" w:cs="宋体"/>
                <w:color w:val="auto"/>
                <w:szCs w:val="21"/>
              </w:rPr>
              <w:t>1.3</w:t>
            </w:r>
          </w:p>
        </w:tc>
        <w:tc>
          <w:tcPr>
            <w:tcW w:w="6952" w:type="dxa"/>
            <w:tcBorders>
              <w:top w:val="single" w:color="auto" w:sz="4" w:space="0"/>
              <w:left w:val="nil"/>
              <w:bottom w:val="single" w:color="auto" w:sz="4" w:space="0"/>
              <w:right w:val="single" w:color="auto" w:sz="4" w:space="0"/>
            </w:tcBorders>
            <w:vAlign w:val="center"/>
          </w:tcPr>
          <w:p w14:paraId="273CCF5A">
            <w:pPr>
              <w:rPr>
                <w:rFonts w:ascii="宋体" w:hAnsi="宋体" w:cs="宋体"/>
                <w:color w:val="auto"/>
                <w:szCs w:val="21"/>
              </w:rPr>
            </w:pPr>
            <w:r>
              <w:rPr>
                <w:rFonts w:hint="eastAsia" w:cs="宋体"/>
                <w:color w:val="auto"/>
              </w:rPr>
              <w:t>分项报价表（格式自拟）</w:t>
            </w:r>
            <w:r>
              <w:rPr>
                <w:rFonts w:hint="eastAsia" w:ascii="宋体" w:hAnsi="宋体" w:cs="宋体"/>
                <w:color w:val="auto"/>
                <w:szCs w:val="21"/>
              </w:rPr>
              <w:t>（格式</w:t>
            </w:r>
            <w:r>
              <w:rPr>
                <w:rFonts w:hint="eastAsia" w:ascii="宋体" w:hAnsi="宋体"/>
                <w:color w:val="auto"/>
                <w:szCs w:val="21"/>
              </w:rPr>
              <w:t>3</w:t>
            </w:r>
            <w:r>
              <w:rPr>
                <w:rFonts w:hint="eastAsia" w:ascii="宋体" w:hAnsi="宋体" w:cs="宋体"/>
                <w:color w:val="auto"/>
                <w:szCs w:val="21"/>
              </w:rPr>
              <w:t>）</w:t>
            </w:r>
          </w:p>
        </w:tc>
        <w:tc>
          <w:tcPr>
            <w:tcW w:w="725" w:type="dxa"/>
            <w:tcBorders>
              <w:top w:val="single" w:color="auto" w:sz="4" w:space="0"/>
              <w:left w:val="nil"/>
              <w:bottom w:val="single" w:color="auto" w:sz="4" w:space="0"/>
              <w:right w:val="single" w:color="auto" w:sz="4" w:space="0"/>
            </w:tcBorders>
            <w:vAlign w:val="bottom"/>
          </w:tcPr>
          <w:p w14:paraId="389B5215">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5CADE8D4">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008B5861">
            <w:pPr>
              <w:jc w:val="center"/>
              <w:rPr>
                <w:rFonts w:ascii="宋体" w:hAnsi="宋体" w:cs="宋体"/>
                <w:b/>
                <w:bCs/>
                <w:color w:val="auto"/>
                <w:szCs w:val="21"/>
              </w:rPr>
            </w:pPr>
          </w:p>
        </w:tc>
      </w:tr>
      <w:tr w14:paraId="4ADA3CE6">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24A8A122">
            <w:pPr>
              <w:rPr>
                <w:rFonts w:ascii="宋体" w:hAnsi="宋体" w:cs="宋体"/>
                <w:b/>
                <w:bCs/>
                <w:color w:val="auto"/>
                <w:szCs w:val="21"/>
              </w:rPr>
            </w:pPr>
            <w:r>
              <w:rPr>
                <w:rFonts w:hint="eastAsia" w:ascii="宋体" w:hAnsi="宋体" w:cs="宋体"/>
                <w:b/>
                <w:bCs/>
                <w:color w:val="auto"/>
                <w:szCs w:val="21"/>
              </w:rPr>
              <w:t>二</w:t>
            </w:r>
          </w:p>
        </w:tc>
        <w:tc>
          <w:tcPr>
            <w:tcW w:w="6952" w:type="dxa"/>
            <w:tcBorders>
              <w:top w:val="single" w:color="auto" w:sz="4" w:space="0"/>
              <w:left w:val="nil"/>
              <w:bottom w:val="single" w:color="auto" w:sz="4" w:space="0"/>
              <w:right w:val="single" w:color="auto" w:sz="4" w:space="0"/>
            </w:tcBorders>
            <w:vAlign w:val="center"/>
          </w:tcPr>
          <w:p w14:paraId="06571DBF">
            <w:pPr>
              <w:rPr>
                <w:rFonts w:ascii="宋体" w:hAnsi="宋体" w:cs="宋体"/>
                <w:b/>
                <w:bCs/>
                <w:color w:val="auto"/>
                <w:szCs w:val="21"/>
              </w:rPr>
            </w:pPr>
            <w:r>
              <w:rPr>
                <w:rFonts w:hint="eastAsia" w:ascii="宋体" w:hAnsi="宋体" w:cs="宋体"/>
                <w:b/>
                <w:bCs/>
                <w:color w:val="auto"/>
                <w:szCs w:val="21"/>
              </w:rPr>
              <w:t>资格及符合性审查文件</w:t>
            </w:r>
          </w:p>
        </w:tc>
        <w:tc>
          <w:tcPr>
            <w:tcW w:w="725" w:type="dxa"/>
            <w:tcBorders>
              <w:top w:val="single" w:color="auto" w:sz="4" w:space="0"/>
              <w:left w:val="nil"/>
              <w:bottom w:val="single" w:color="auto" w:sz="4" w:space="0"/>
              <w:right w:val="single" w:color="auto" w:sz="4" w:space="0"/>
            </w:tcBorders>
            <w:vAlign w:val="bottom"/>
          </w:tcPr>
          <w:p w14:paraId="31816AF4">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8169A88">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4F47D083">
            <w:pPr>
              <w:jc w:val="center"/>
              <w:rPr>
                <w:rFonts w:ascii="宋体" w:hAnsi="宋体" w:cs="宋体"/>
                <w:b/>
                <w:bCs/>
                <w:color w:val="auto"/>
                <w:szCs w:val="21"/>
              </w:rPr>
            </w:pPr>
          </w:p>
        </w:tc>
      </w:tr>
      <w:tr w14:paraId="764CCF81">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316B3DA9">
            <w:pPr>
              <w:rPr>
                <w:rFonts w:ascii="宋体" w:hAnsi="宋体" w:cs="宋体"/>
                <w:color w:val="auto"/>
                <w:szCs w:val="21"/>
              </w:rPr>
            </w:pPr>
            <w:r>
              <w:rPr>
                <w:rFonts w:hint="eastAsia" w:ascii="宋体" w:hAnsi="宋体" w:cs="宋体"/>
                <w:color w:val="auto"/>
                <w:szCs w:val="21"/>
              </w:rPr>
              <w:t>2.1</w:t>
            </w:r>
          </w:p>
        </w:tc>
        <w:tc>
          <w:tcPr>
            <w:tcW w:w="6952" w:type="dxa"/>
            <w:tcBorders>
              <w:top w:val="single" w:color="auto" w:sz="4" w:space="0"/>
              <w:left w:val="nil"/>
              <w:bottom w:val="single" w:color="auto" w:sz="4" w:space="0"/>
              <w:right w:val="single" w:color="auto" w:sz="4" w:space="0"/>
            </w:tcBorders>
            <w:vAlign w:val="center"/>
          </w:tcPr>
          <w:p w14:paraId="047E4DD0">
            <w:pPr>
              <w:rPr>
                <w:rFonts w:ascii="宋体" w:hAnsi="宋体" w:cs="宋体"/>
                <w:color w:val="auto"/>
                <w:szCs w:val="21"/>
              </w:rPr>
            </w:pPr>
            <w:r>
              <w:rPr>
                <w:rFonts w:hint="eastAsia" w:ascii="宋体" w:hAnsi="宋体" w:cs="宋体"/>
                <w:color w:val="auto"/>
                <w:szCs w:val="21"/>
              </w:rPr>
              <w:t>资格声明函</w:t>
            </w:r>
            <w:r>
              <w:rPr>
                <w:rFonts w:ascii="宋体" w:hAnsi="宋体"/>
                <w:color w:val="auto"/>
                <w:szCs w:val="21"/>
              </w:rPr>
              <w:t>(</w:t>
            </w:r>
            <w:r>
              <w:rPr>
                <w:rFonts w:hint="eastAsia" w:ascii="宋体" w:hAnsi="宋体" w:cs="宋体"/>
                <w:color w:val="auto"/>
                <w:szCs w:val="21"/>
              </w:rPr>
              <w:t>格式4</w:t>
            </w:r>
            <w:r>
              <w:rPr>
                <w:rFonts w:ascii="宋体" w:hAnsi="宋体"/>
                <w:color w:val="auto"/>
                <w:szCs w:val="21"/>
              </w:rPr>
              <w:t>)</w:t>
            </w:r>
          </w:p>
        </w:tc>
        <w:tc>
          <w:tcPr>
            <w:tcW w:w="725" w:type="dxa"/>
            <w:tcBorders>
              <w:top w:val="single" w:color="auto" w:sz="4" w:space="0"/>
              <w:left w:val="nil"/>
              <w:bottom w:val="single" w:color="auto" w:sz="4" w:space="0"/>
              <w:right w:val="single" w:color="auto" w:sz="4" w:space="0"/>
            </w:tcBorders>
            <w:vAlign w:val="bottom"/>
          </w:tcPr>
          <w:p w14:paraId="29CC3959">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4EAA299">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683400FB">
            <w:pPr>
              <w:jc w:val="center"/>
              <w:rPr>
                <w:rFonts w:ascii="宋体" w:hAnsi="宋体" w:cs="宋体"/>
                <w:b/>
                <w:bCs/>
                <w:color w:val="auto"/>
                <w:szCs w:val="21"/>
              </w:rPr>
            </w:pPr>
          </w:p>
        </w:tc>
      </w:tr>
      <w:tr w14:paraId="6FD40C48">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434AB77C">
            <w:pPr>
              <w:rPr>
                <w:rFonts w:ascii="宋体" w:hAnsi="宋体" w:cs="宋体"/>
                <w:color w:val="auto"/>
                <w:szCs w:val="21"/>
              </w:rPr>
            </w:pPr>
            <w:r>
              <w:rPr>
                <w:rFonts w:hint="eastAsia" w:ascii="宋体" w:hAnsi="宋体" w:cs="宋体"/>
                <w:color w:val="auto"/>
                <w:szCs w:val="21"/>
              </w:rPr>
              <w:t>2.2</w:t>
            </w:r>
          </w:p>
        </w:tc>
        <w:tc>
          <w:tcPr>
            <w:tcW w:w="6952" w:type="dxa"/>
            <w:tcBorders>
              <w:top w:val="single" w:color="auto" w:sz="4" w:space="0"/>
              <w:left w:val="nil"/>
              <w:bottom w:val="single" w:color="auto" w:sz="4" w:space="0"/>
              <w:right w:val="single" w:color="auto" w:sz="4" w:space="0"/>
            </w:tcBorders>
            <w:vAlign w:val="center"/>
          </w:tcPr>
          <w:p w14:paraId="74329221">
            <w:pPr>
              <w:rPr>
                <w:rFonts w:ascii="宋体" w:hAnsi="宋体" w:cs="宋体"/>
                <w:color w:val="auto"/>
                <w:szCs w:val="21"/>
              </w:rPr>
            </w:pPr>
            <w:r>
              <w:rPr>
                <w:rFonts w:hint="eastAsia" w:ascii="宋体" w:hAnsi="宋体" w:cs="宋体"/>
                <w:color w:val="auto"/>
                <w:szCs w:val="21"/>
              </w:rPr>
              <w:t>供应商法人营业执照或者其他组织登记文件等证明文件复印件</w:t>
            </w:r>
          </w:p>
        </w:tc>
        <w:tc>
          <w:tcPr>
            <w:tcW w:w="725" w:type="dxa"/>
            <w:tcBorders>
              <w:top w:val="single" w:color="auto" w:sz="4" w:space="0"/>
              <w:left w:val="nil"/>
              <w:bottom w:val="single" w:color="auto" w:sz="4" w:space="0"/>
              <w:right w:val="single" w:color="auto" w:sz="4" w:space="0"/>
            </w:tcBorders>
            <w:vAlign w:val="bottom"/>
          </w:tcPr>
          <w:p w14:paraId="4E4CE2C3">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41FBB144">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37289281">
            <w:pPr>
              <w:jc w:val="center"/>
              <w:rPr>
                <w:rFonts w:ascii="宋体" w:hAnsi="宋体" w:cs="宋体"/>
                <w:b/>
                <w:bCs/>
                <w:color w:val="auto"/>
                <w:szCs w:val="21"/>
              </w:rPr>
            </w:pPr>
          </w:p>
        </w:tc>
      </w:tr>
      <w:tr w14:paraId="214880C0">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53C4175E">
            <w:pPr>
              <w:rPr>
                <w:rFonts w:ascii="宋体" w:hAnsi="宋体" w:cs="宋体"/>
                <w:color w:val="auto"/>
                <w:szCs w:val="21"/>
              </w:rPr>
            </w:pPr>
            <w:r>
              <w:rPr>
                <w:rFonts w:hint="eastAsia" w:ascii="宋体" w:hAnsi="宋体" w:cs="宋体"/>
                <w:color w:val="auto"/>
                <w:szCs w:val="21"/>
              </w:rPr>
              <w:t>2.3</w:t>
            </w:r>
          </w:p>
        </w:tc>
        <w:tc>
          <w:tcPr>
            <w:tcW w:w="6952" w:type="dxa"/>
            <w:tcBorders>
              <w:top w:val="single" w:color="auto" w:sz="4" w:space="0"/>
              <w:left w:val="nil"/>
              <w:bottom w:val="single" w:color="auto" w:sz="4" w:space="0"/>
              <w:right w:val="single" w:color="auto" w:sz="4" w:space="0"/>
            </w:tcBorders>
            <w:vAlign w:val="center"/>
          </w:tcPr>
          <w:p w14:paraId="3A8F0844">
            <w:pPr>
              <w:rPr>
                <w:rFonts w:ascii="宋体" w:hAnsi="宋体" w:cs="宋体"/>
                <w:color w:val="auto"/>
                <w:szCs w:val="21"/>
              </w:rPr>
            </w:pPr>
            <w:r>
              <w:rPr>
                <w:rFonts w:hint="eastAsia" w:ascii="宋体" w:hAnsi="宋体" w:cs="Tahoma"/>
                <w:color w:val="auto"/>
                <w:szCs w:val="21"/>
              </w:rPr>
              <w:t>具有良好的商业信誉和健全的财务会计制度</w:t>
            </w:r>
            <w:r>
              <w:rPr>
                <w:rFonts w:hint="eastAsia" w:ascii="宋体" w:hAnsi="宋体" w:cs="Tahoma"/>
                <w:color w:val="auto"/>
                <w:szCs w:val="21"/>
                <w:lang w:val="zh-CN"/>
              </w:rPr>
              <w:t>（提供《资格条件承诺函》）</w:t>
            </w:r>
          </w:p>
        </w:tc>
        <w:tc>
          <w:tcPr>
            <w:tcW w:w="725" w:type="dxa"/>
            <w:tcBorders>
              <w:top w:val="single" w:color="auto" w:sz="4" w:space="0"/>
              <w:left w:val="nil"/>
              <w:bottom w:val="single" w:color="auto" w:sz="4" w:space="0"/>
              <w:right w:val="single" w:color="auto" w:sz="4" w:space="0"/>
            </w:tcBorders>
            <w:vAlign w:val="bottom"/>
          </w:tcPr>
          <w:p w14:paraId="322BDC24">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4911664">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42A6D0C4">
            <w:pPr>
              <w:jc w:val="center"/>
              <w:rPr>
                <w:rFonts w:ascii="宋体" w:hAnsi="宋体" w:cs="宋体"/>
                <w:b/>
                <w:bCs/>
                <w:color w:val="auto"/>
                <w:szCs w:val="21"/>
              </w:rPr>
            </w:pPr>
          </w:p>
        </w:tc>
      </w:tr>
      <w:tr w14:paraId="61EAE13B">
        <w:tblPrEx>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vAlign w:val="center"/>
          </w:tcPr>
          <w:p w14:paraId="7620171F">
            <w:pPr>
              <w:rPr>
                <w:rFonts w:ascii="宋体" w:hAnsi="宋体" w:cs="宋体"/>
                <w:color w:val="auto"/>
                <w:szCs w:val="21"/>
              </w:rPr>
            </w:pPr>
            <w:r>
              <w:rPr>
                <w:rFonts w:hint="eastAsia" w:ascii="宋体" w:hAnsi="宋体" w:cs="宋体"/>
                <w:color w:val="auto"/>
                <w:szCs w:val="21"/>
              </w:rPr>
              <w:t>2.4</w:t>
            </w:r>
          </w:p>
        </w:tc>
        <w:tc>
          <w:tcPr>
            <w:tcW w:w="6952" w:type="dxa"/>
            <w:tcBorders>
              <w:top w:val="single" w:color="auto" w:sz="4" w:space="0"/>
              <w:left w:val="nil"/>
              <w:bottom w:val="single" w:color="auto" w:sz="4" w:space="0"/>
              <w:right w:val="single" w:color="auto" w:sz="4" w:space="0"/>
            </w:tcBorders>
            <w:vAlign w:val="center"/>
          </w:tcPr>
          <w:p w14:paraId="4F7A446D">
            <w:pPr>
              <w:rPr>
                <w:rFonts w:ascii="宋体" w:hAnsi="宋体" w:cs="宋体"/>
                <w:color w:val="auto"/>
                <w:szCs w:val="21"/>
              </w:rPr>
            </w:pPr>
            <w:r>
              <w:rPr>
                <w:rFonts w:hint="eastAsia" w:ascii="宋体" w:hAnsi="宋体" w:cs="宋体"/>
                <w:color w:val="auto"/>
                <w:szCs w:val="21"/>
              </w:rPr>
              <w:t>有依法缴纳税收和社会保障资金的良好记录（提供《资格条件承诺函》）</w:t>
            </w:r>
          </w:p>
        </w:tc>
        <w:tc>
          <w:tcPr>
            <w:tcW w:w="725" w:type="dxa"/>
            <w:tcBorders>
              <w:top w:val="single" w:color="auto" w:sz="4" w:space="0"/>
              <w:left w:val="nil"/>
              <w:bottom w:val="single" w:color="auto" w:sz="4" w:space="0"/>
              <w:right w:val="single" w:color="auto" w:sz="4" w:space="0"/>
            </w:tcBorders>
            <w:vAlign w:val="bottom"/>
          </w:tcPr>
          <w:p w14:paraId="47E49B62">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0E897CF">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6835D2B1">
            <w:pPr>
              <w:jc w:val="center"/>
              <w:rPr>
                <w:rFonts w:ascii="宋体" w:hAnsi="宋体" w:cs="宋体"/>
                <w:b/>
                <w:bCs/>
                <w:color w:val="auto"/>
                <w:szCs w:val="21"/>
              </w:rPr>
            </w:pPr>
          </w:p>
        </w:tc>
      </w:tr>
      <w:tr w14:paraId="5FAB4DE5">
        <w:tblPrEx>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vAlign w:val="center"/>
          </w:tcPr>
          <w:p w14:paraId="7864EDF9">
            <w:pPr>
              <w:rPr>
                <w:rFonts w:ascii="宋体" w:hAnsi="宋体" w:cs="宋体"/>
                <w:color w:val="auto"/>
                <w:szCs w:val="21"/>
              </w:rPr>
            </w:pPr>
            <w:r>
              <w:rPr>
                <w:rFonts w:hint="eastAsia" w:ascii="宋体" w:hAnsi="宋体" w:cs="宋体"/>
                <w:color w:val="auto"/>
                <w:szCs w:val="21"/>
              </w:rPr>
              <w:t>2.5</w:t>
            </w:r>
          </w:p>
        </w:tc>
        <w:tc>
          <w:tcPr>
            <w:tcW w:w="6952" w:type="dxa"/>
            <w:tcBorders>
              <w:top w:val="single" w:color="auto" w:sz="4" w:space="0"/>
              <w:left w:val="nil"/>
              <w:bottom w:val="single" w:color="auto" w:sz="4" w:space="0"/>
              <w:right w:val="single" w:color="auto" w:sz="4" w:space="0"/>
            </w:tcBorders>
            <w:vAlign w:val="center"/>
          </w:tcPr>
          <w:p w14:paraId="5920A5DF">
            <w:pPr>
              <w:rPr>
                <w:rFonts w:ascii="宋体" w:hAnsi="宋体" w:cs="宋体"/>
                <w:color w:val="auto"/>
                <w:szCs w:val="21"/>
              </w:rPr>
            </w:pPr>
            <w:r>
              <w:rPr>
                <w:rFonts w:hint="eastAsia" w:ascii="宋体" w:hAnsi="宋体" w:cs="宋体"/>
                <w:color w:val="auto"/>
                <w:szCs w:val="21"/>
              </w:rPr>
              <w:t>具有履行合同所必需的设备和专业技术能力（提供《资格条件承诺函》）</w:t>
            </w:r>
          </w:p>
        </w:tc>
        <w:tc>
          <w:tcPr>
            <w:tcW w:w="725" w:type="dxa"/>
            <w:tcBorders>
              <w:top w:val="single" w:color="auto" w:sz="4" w:space="0"/>
              <w:left w:val="nil"/>
              <w:bottom w:val="single" w:color="auto" w:sz="4" w:space="0"/>
              <w:right w:val="single" w:color="auto" w:sz="4" w:space="0"/>
            </w:tcBorders>
            <w:vAlign w:val="bottom"/>
          </w:tcPr>
          <w:p w14:paraId="0E659FA9">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37DD5D22">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33C0E374">
            <w:pPr>
              <w:jc w:val="center"/>
              <w:rPr>
                <w:rFonts w:ascii="宋体" w:hAnsi="宋体" w:cs="宋体"/>
                <w:b/>
                <w:bCs/>
                <w:color w:val="auto"/>
                <w:szCs w:val="21"/>
              </w:rPr>
            </w:pPr>
          </w:p>
        </w:tc>
      </w:tr>
      <w:tr w14:paraId="0B44CF4D">
        <w:tblPrEx>
          <w:tblCellMar>
            <w:top w:w="0" w:type="dxa"/>
            <w:left w:w="108" w:type="dxa"/>
            <w:bottom w:w="0" w:type="dxa"/>
            <w:right w:w="108" w:type="dxa"/>
          </w:tblCellMar>
        </w:tblPrEx>
        <w:trPr>
          <w:trHeight w:val="326" w:hRule="atLeast"/>
        </w:trPr>
        <w:tc>
          <w:tcPr>
            <w:tcW w:w="675" w:type="dxa"/>
            <w:tcBorders>
              <w:top w:val="single" w:color="auto" w:sz="4" w:space="0"/>
              <w:left w:val="single" w:color="auto" w:sz="4" w:space="0"/>
              <w:bottom w:val="single" w:color="auto" w:sz="4" w:space="0"/>
              <w:right w:val="single" w:color="auto" w:sz="4" w:space="0"/>
            </w:tcBorders>
            <w:vAlign w:val="center"/>
          </w:tcPr>
          <w:p w14:paraId="76C48B0B">
            <w:pPr>
              <w:rPr>
                <w:rFonts w:ascii="宋体" w:hAnsi="宋体" w:cs="宋体"/>
                <w:color w:val="auto"/>
                <w:szCs w:val="21"/>
              </w:rPr>
            </w:pPr>
            <w:r>
              <w:rPr>
                <w:rFonts w:hint="eastAsia" w:ascii="宋体" w:hAnsi="宋体" w:cs="宋体"/>
                <w:color w:val="auto"/>
                <w:szCs w:val="21"/>
              </w:rPr>
              <w:t>2.6</w:t>
            </w:r>
          </w:p>
        </w:tc>
        <w:tc>
          <w:tcPr>
            <w:tcW w:w="6952" w:type="dxa"/>
            <w:tcBorders>
              <w:top w:val="single" w:color="auto" w:sz="4" w:space="0"/>
              <w:left w:val="nil"/>
              <w:bottom w:val="single" w:color="auto" w:sz="4" w:space="0"/>
              <w:right w:val="single" w:color="auto" w:sz="4" w:space="0"/>
            </w:tcBorders>
            <w:vAlign w:val="center"/>
          </w:tcPr>
          <w:p w14:paraId="64348682">
            <w:pPr>
              <w:rPr>
                <w:rFonts w:ascii="宋体" w:hAnsi="宋体" w:cs="宋体"/>
                <w:color w:val="auto"/>
                <w:szCs w:val="21"/>
              </w:rPr>
            </w:pPr>
            <w:r>
              <w:rPr>
                <w:rFonts w:hint="eastAsia" w:ascii="宋体" w:hAnsi="宋体" w:cs="Arial"/>
                <w:color w:val="auto"/>
                <w:szCs w:val="21"/>
              </w:rPr>
              <w:t>购买采购文件的收据或发票复印件</w:t>
            </w:r>
          </w:p>
        </w:tc>
        <w:tc>
          <w:tcPr>
            <w:tcW w:w="725" w:type="dxa"/>
            <w:tcBorders>
              <w:top w:val="single" w:color="auto" w:sz="4" w:space="0"/>
              <w:left w:val="nil"/>
              <w:bottom w:val="single" w:color="auto" w:sz="4" w:space="0"/>
              <w:right w:val="single" w:color="auto" w:sz="4" w:space="0"/>
            </w:tcBorders>
            <w:vAlign w:val="bottom"/>
          </w:tcPr>
          <w:p w14:paraId="65D21429">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04123451">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26FD6315">
            <w:pPr>
              <w:jc w:val="center"/>
              <w:rPr>
                <w:rFonts w:ascii="宋体" w:hAnsi="宋体" w:cs="宋体"/>
                <w:b/>
                <w:bCs/>
                <w:color w:val="auto"/>
                <w:szCs w:val="21"/>
              </w:rPr>
            </w:pPr>
          </w:p>
        </w:tc>
      </w:tr>
      <w:tr w14:paraId="22C2C469">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6B853610">
            <w:pPr>
              <w:rPr>
                <w:rFonts w:ascii="宋体" w:hAnsi="宋体" w:cs="宋体"/>
                <w:color w:val="auto"/>
                <w:szCs w:val="21"/>
              </w:rPr>
            </w:pPr>
            <w:r>
              <w:rPr>
                <w:rFonts w:hint="eastAsia" w:ascii="宋体" w:hAnsi="宋体" w:cs="宋体"/>
                <w:color w:val="auto"/>
                <w:szCs w:val="21"/>
              </w:rPr>
              <w:t>2.7</w:t>
            </w:r>
          </w:p>
        </w:tc>
        <w:tc>
          <w:tcPr>
            <w:tcW w:w="6952" w:type="dxa"/>
            <w:tcBorders>
              <w:top w:val="single" w:color="auto" w:sz="4" w:space="0"/>
              <w:left w:val="nil"/>
              <w:bottom w:val="single" w:color="auto" w:sz="4" w:space="0"/>
              <w:right w:val="single" w:color="auto" w:sz="4" w:space="0"/>
            </w:tcBorders>
            <w:vAlign w:val="center"/>
          </w:tcPr>
          <w:p w14:paraId="5F772F64">
            <w:pPr>
              <w:rPr>
                <w:rFonts w:ascii="宋体" w:hAnsi="宋体" w:cs="宋体"/>
                <w:color w:val="auto"/>
                <w:szCs w:val="21"/>
              </w:rPr>
            </w:pPr>
            <w:r>
              <w:rPr>
                <w:rFonts w:hint="eastAsia" w:ascii="宋体" w:hAnsi="宋体" w:cs="Tahoma"/>
                <w:color w:val="auto"/>
                <w:szCs w:val="21"/>
              </w:rPr>
              <w:t>未列入“信用中国”网站中“记录失信被执行人或重大税收违法失信主体或政府采购严重违法失信行为”的记录名单；不处于“中国政府采购网”中“政府采购严重违法失信行为信息记录”的禁止参加政府采购活动期间</w:t>
            </w:r>
            <w:r>
              <w:rPr>
                <w:rFonts w:hint="eastAsia" w:ascii="宋体" w:hAnsi="宋体"/>
                <w:bCs/>
                <w:color w:val="auto"/>
                <w:szCs w:val="21"/>
              </w:rPr>
              <w:t>，提供</w:t>
            </w:r>
            <w:r>
              <w:rPr>
                <w:rFonts w:ascii="宋体" w:hAnsi="宋体"/>
                <w:color w:val="auto"/>
                <w:szCs w:val="21"/>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bCs/>
                <w:color w:val="auto"/>
                <w:szCs w:val="21"/>
              </w:rPr>
              <w:t>www.creditchina.gov.cn/</w:t>
            </w:r>
            <w:r>
              <w:rPr>
                <w:rFonts w:hint="eastAsia" w:ascii="宋体" w:hAnsi="宋体"/>
                <w:bCs/>
                <w:color w:val="auto"/>
                <w:szCs w:val="21"/>
              </w:rPr>
              <w:fldChar w:fldCharType="end"/>
            </w:r>
            <w:r>
              <w:rPr>
                <w:rFonts w:hint="eastAsia" w:ascii="宋体" w:hAnsi="宋体"/>
                <w:bCs/>
                <w:color w:val="auto"/>
                <w:szCs w:val="21"/>
              </w:rPr>
              <w:t>及</w:t>
            </w:r>
            <w:r>
              <w:rPr>
                <w:rFonts w:ascii="宋体" w:hAnsi="宋体"/>
                <w:color w:val="auto"/>
                <w:szCs w:val="21"/>
              </w:rPr>
              <w:t>中国政府采购网www.ccgp.gov.cn查询结果截图并加盖公章</w:t>
            </w:r>
          </w:p>
        </w:tc>
        <w:tc>
          <w:tcPr>
            <w:tcW w:w="725" w:type="dxa"/>
            <w:tcBorders>
              <w:top w:val="single" w:color="auto" w:sz="4" w:space="0"/>
              <w:left w:val="nil"/>
              <w:bottom w:val="single" w:color="auto" w:sz="4" w:space="0"/>
              <w:right w:val="single" w:color="auto" w:sz="4" w:space="0"/>
            </w:tcBorders>
            <w:vAlign w:val="bottom"/>
          </w:tcPr>
          <w:p w14:paraId="24058D1B">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555DD0A3">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14D546EC">
            <w:pPr>
              <w:jc w:val="center"/>
              <w:rPr>
                <w:rFonts w:ascii="宋体" w:hAnsi="宋体" w:cs="宋体"/>
                <w:b/>
                <w:bCs/>
                <w:color w:val="auto"/>
                <w:szCs w:val="21"/>
              </w:rPr>
            </w:pPr>
          </w:p>
        </w:tc>
      </w:tr>
      <w:tr w14:paraId="4176C6BA">
        <w:tblPrEx>
          <w:tblCellMar>
            <w:top w:w="0" w:type="dxa"/>
            <w:left w:w="108" w:type="dxa"/>
            <w:bottom w:w="0" w:type="dxa"/>
            <w:right w:w="108" w:type="dxa"/>
          </w:tblCellMar>
        </w:tblPrEx>
        <w:trPr>
          <w:trHeight w:val="293" w:hRule="atLeast"/>
        </w:trPr>
        <w:tc>
          <w:tcPr>
            <w:tcW w:w="675" w:type="dxa"/>
            <w:tcBorders>
              <w:top w:val="single" w:color="auto" w:sz="4" w:space="0"/>
              <w:left w:val="single" w:color="auto" w:sz="4" w:space="0"/>
              <w:bottom w:val="single" w:color="auto" w:sz="4" w:space="0"/>
              <w:right w:val="single" w:color="auto" w:sz="4" w:space="0"/>
            </w:tcBorders>
            <w:vAlign w:val="center"/>
          </w:tcPr>
          <w:p w14:paraId="434A5B4D">
            <w:pPr>
              <w:rPr>
                <w:rFonts w:ascii="宋体" w:hAnsi="宋体" w:cs="宋体"/>
                <w:color w:val="auto"/>
                <w:szCs w:val="21"/>
              </w:rPr>
            </w:pPr>
            <w:r>
              <w:rPr>
                <w:rFonts w:hint="eastAsia" w:ascii="宋体" w:hAnsi="宋体" w:cs="宋体"/>
                <w:color w:val="auto"/>
                <w:szCs w:val="21"/>
              </w:rPr>
              <w:t>2.8</w:t>
            </w:r>
          </w:p>
        </w:tc>
        <w:tc>
          <w:tcPr>
            <w:tcW w:w="6952" w:type="dxa"/>
            <w:tcBorders>
              <w:top w:val="single" w:color="auto" w:sz="4" w:space="0"/>
              <w:left w:val="nil"/>
              <w:bottom w:val="single" w:color="auto" w:sz="4" w:space="0"/>
              <w:right w:val="single" w:color="auto" w:sz="4" w:space="0"/>
            </w:tcBorders>
            <w:vAlign w:val="center"/>
          </w:tcPr>
          <w:p w14:paraId="062CC99C">
            <w:pPr>
              <w:rPr>
                <w:rFonts w:ascii="宋体" w:hAnsi="宋体" w:cs="Arial"/>
                <w:color w:val="auto"/>
                <w:szCs w:val="21"/>
              </w:rPr>
            </w:pPr>
            <w:r>
              <w:rPr>
                <w:rFonts w:hint="eastAsia" w:ascii="宋体" w:hAnsi="宋体" w:cs="Tahoma"/>
                <w:color w:val="auto"/>
                <w:szCs w:val="21"/>
              </w:rPr>
              <w:t>资格条件承诺函</w:t>
            </w:r>
            <w:r>
              <w:rPr>
                <w:rFonts w:hint="eastAsia" w:ascii="宋体" w:hAnsi="宋体" w:cs="宋体"/>
                <w:color w:val="auto"/>
                <w:szCs w:val="21"/>
              </w:rPr>
              <w:t>（格式5）</w:t>
            </w:r>
          </w:p>
        </w:tc>
        <w:tc>
          <w:tcPr>
            <w:tcW w:w="725" w:type="dxa"/>
            <w:tcBorders>
              <w:top w:val="single" w:color="auto" w:sz="4" w:space="0"/>
              <w:left w:val="nil"/>
              <w:bottom w:val="single" w:color="auto" w:sz="4" w:space="0"/>
              <w:right w:val="single" w:color="auto" w:sz="4" w:space="0"/>
            </w:tcBorders>
            <w:vAlign w:val="bottom"/>
          </w:tcPr>
          <w:p w14:paraId="0F464727">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025287B6">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6D134D18">
            <w:pPr>
              <w:jc w:val="center"/>
              <w:rPr>
                <w:rFonts w:ascii="宋体" w:hAnsi="宋体" w:cs="宋体"/>
                <w:b/>
                <w:bCs/>
                <w:color w:val="auto"/>
                <w:szCs w:val="21"/>
              </w:rPr>
            </w:pPr>
          </w:p>
        </w:tc>
      </w:tr>
      <w:tr w14:paraId="5795F735">
        <w:tblPrEx>
          <w:tblCellMar>
            <w:top w:w="0" w:type="dxa"/>
            <w:left w:w="108" w:type="dxa"/>
            <w:bottom w:w="0" w:type="dxa"/>
            <w:right w:w="108" w:type="dxa"/>
          </w:tblCellMar>
        </w:tblPrEx>
        <w:trPr>
          <w:trHeight w:val="293" w:hRule="atLeast"/>
        </w:trPr>
        <w:tc>
          <w:tcPr>
            <w:tcW w:w="675" w:type="dxa"/>
            <w:tcBorders>
              <w:top w:val="single" w:color="auto" w:sz="4" w:space="0"/>
              <w:left w:val="single" w:color="auto" w:sz="4" w:space="0"/>
              <w:bottom w:val="single" w:color="auto" w:sz="4" w:space="0"/>
              <w:right w:val="single" w:color="auto" w:sz="4" w:space="0"/>
            </w:tcBorders>
            <w:vAlign w:val="center"/>
          </w:tcPr>
          <w:p w14:paraId="15413E67">
            <w:pP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9</w:t>
            </w:r>
          </w:p>
        </w:tc>
        <w:tc>
          <w:tcPr>
            <w:tcW w:w="6952" w:type="dxa"/>
            <w:tcBorders>
              <w:top w:val="single" w:color="auto" w:sz="4" w:space="0"/>
              <w:left w:val="nil"/>
              <w:bottom w:val="single" w:color="auto" w:sz="4" w:space="0"/>
              <w:right w:val="single" w:color="auto" w:sz="4" w:space="0"/>
            </w:tcBorders>
            <w:vAlign w:val="center"/>
          </w:tcPr>
          <w:p w14:paraId="5290550B">
            <w:pPr>
              <w:rPr>
                <w:rFonts w:ascii="宋体" w:hAnsi="宋体" w:cs="Tahoma"/>
                <w:color w:val="auto"/>
                <w:szCs w:val="21"/>
              </w:rPr>
            </w:pPr>
            <w:r>
              <w:rPr>
                <w:rFonts w:hint="eastAsia" w:ascii="宋体" w:hAnsi="宋体" w:cs="Tahoma"/>
                <w:color w:val="auto"/>
                <w:szCs w:val="21"/>
              </w:rPr>
              <w:t>建筑工程施工总承包三级以上（含三级）资质，并具备有效的安全生产许可证</w:t>
            </w:r>
          </w:p>
        </w:tc>
        <w:tc>
          <w:tcPr>
            <w:tcW w:w="725" w:type="dxa"/>
            <w:tcBorders>
              <w:top w:val="single" w:color="auto" w:sz="4" w:space="0"/>
              <w:left w:val="nil"/>
              <w:bottom w:val="single" w:color="auto" w:sz="4" w:space="0"/>
              <w:right w:val="single" w:color="auto" w:sz="4" w:space="0"/>
            </w:tcBorders>
            <w:vAlign w:val="bottom"/>
          </w:tcPr>
          <w:p w14:paraId="06062A3F">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50C3CF12">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2DE019F2">
            <w:pPr>
              <w:jc w:val="center"/>
              <w:rPr>
                <w:rFonts w:ascii="宋体" w:hAnsi="宋体" w:cs="宋体"/>
                <w:b/>
                <w:bCs/>
                <w:color w:val="auto"/>
                <w:szCs w:val="21"/>
              </w:rPr>
            </w:pPr>
          </w:p>
        </w:tc>
      </w:tr>
      <w:tr w14:paraId="77234981">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06D4C07B">
            <w:pPr>
              <w:rPr>
                <w:rFonts w:hint="eastAsia" w:ascii="宋体" w:hAnsi="宋体" w:eastAsia="宋体" w:cs="宋体"/>
                <w:color w:val="auto"/>
                <w:szCs w:val="21"/>
                <w:lang w:eastAsia="zh-CN"/>
              </w:rPr>
            </w:pPr>
            <w:r>
              <w:rPr>
                <w:rFonts w:hint="eastAsia" w:ascii="宋体" w:hAnsi="宋体" w:cs="宋体"/>
                <w:color w:val="auto"/>
                <w:szCs w:val="21"/>
              </w:rPr>
              <w:t>2.1</w:t>
            </w:r>
            <w:r>
              <w:rPr>
                <w:rFonts w:hint="eastAsia" w:ascii="宋体" w:hAnsi="宋体" w:cs="宋体"/>
                <w:color w:val="auto"/>
                <w:szCs w:val="21"/>
                <w:lang w:val="en-US" w:eastAsia="zh-CN"/>
              </w:rPr>
              <w:t>0</w:t>
            </w:r>
          </w:p>
        </w:tc>
        <w:tc>
          <w:tcPr>
            <w:tcW w:w="6952" w:type="dxa"/>
            <w:tcBorders>
              <w:top w:val="single" w:color="auto" w:sz="4" w:space="0"/>
              <w:left w:val="nil"/>
              <w:bottom w:val="single" w:color="auto" w:sz="4" w:space="0"/>
              <w:right w:val="single" w:color="auto" w:sz="4" w:space="0"/>
            </w:tcBorders>
            <w:vAlign w:val="center"/>
          </w:tcPr>
          <w:p w14:paraId="7F9BC439">
            <w:pPr>
              <w:rPr>
                <w:rFonts w:ascii="宋体" w:hAnsi="宋体" w:cs="宋体"/>
                <w:b/>
                <w:bCs/>
                <w:color w:val="auto"/>
                <w:szCs w:val="21"/>
              </w:rPr>
            </w:pPr>
            <w:r>
              <w:rPr>
                <w:rFonts w:hint="eastAsia" w:ascii="宋体" w:hAnsi="宋体" w:cs="宋体"/>
                <w:color w:val="auto"/>
                <w:szCs w:val="21"/>
              </w:rPr>
              <w:t>法定代表人证明及授权书</w:t>
            </w:r>
            <w:r>
              <w:rPr>
                <w:rFonts w:ascii="宋体" w:hAnsi="宋体" w:cs="宋体"/>
                <w:color w:val="auto"/>
                <w:szCs w:val="21"/>
              </w:rPr>
              <w:t>(</w:t>
            </w:r>
            <w:r>
              <w:rPr>
                <w:rFonts w:hint="eastAsia" w:ascii="宋体" w:hAnsi="宋体" w:cs="宋体"/>
                <w:color w:val="auto"/>
                <w:szCs w:val="21"/>
              </w:rPr>
              <w:t>格式6</w:t>
            </w:r>
            <w:r>
              <w:rPr>
                <w:rFonts w:ascii="宋体" w:hAnsi="宋体" w:cs="宋体"/>
                <w:color w:val="auto"/>
                <w:szCs w:val="21"/>
              </w:rPr>
              <w:t>)</w:t>
            </w:r>
          </w:p>
        </w:tc>
        <w:tc>
          <w:tcPr>
            <w:tcW w:w="725" w:type="dxa"/>
            <w:tcBorders>
              <w:top w:val="single" w:color="auto" w:sz="4" w:space="0"/>
              <w:left w:val="nil"/>
              <w:bottom w:val="single" w:color="auto" w:sz="4" w:space="0"/>
              <w:right w:val="single" w:color="auto" w:sz="4" w:space="0"/>
            </w:tcBorders>
            <w:vAlign w:val="bottom"/>
          </w:tcPr>
          <w:p w14:paraId="34077687">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2FF8783E">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7DCC2B70">
            <w:pPr>
              <w:jc w:val="center"/>
              <w:rPr>
                <w:rFonts w:ascii="宋体" w:hAnsi="宋体" w:cs="宋体"/>
                <w:b/>
                <w:bCs/>
                <w:color w:val="auto"/>
                <w:szCs w:val="21"/>
              </w:rPr>
            </w:pPr>
          </w:p>
        </w:tc>
      </w:tr>
      <w:tr w14:paraId="253AC63C">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2979D430">
            <w:pPr>
              <w:rPr>
                <w:rFonts w:hint="eastAsia" w:ascii="宋体" w:hAnsi="宋体" w:eastAsia="宋体" w:cs="宋体"/>
                <w:color w:val="auto"/>
                <w:szCs w:val="21"/>
                <w:lang w:eastAsia="zh-CN"/>
              </w:rPr>
            </w:pPr>
            <w:r>
              <w:rPr>
                <w:rFonts w:hint="eastAsia" w:ascii="宋体" w:hAnsi="宋体" w:cs="宋体"/>
                <w:color w:val="auto"/>
                <w:szCs w:val="21"/>
              </w:rPr>
              <w:t>2.1</w:t>
            </w:r>
            <w:r>
              <w:rPr>
                <w:rFonts w:hint="eastAsia" w:ascii="宋体" w:hAnsi="宋体" w:cs="宋体"/>
                <w:color w:val="auto"/>
                <w:szCs w:val="21"/>
                <w:lang w:val="en-US" w:eastAsia="zh-CN"/>
              </w:rPr>
              <w:t>1</w:t>
            </w:r>
          </w:p>
        </w:tc>
        <w:tc>
          <w:tcPr>
            <w:tcW w:w="6952" w:type="dxa"/>
            <w:tcBorders>
              <w:top w:val="single" w:color="auto" w:sz="4" w:space="0"/>
              <w:left w:val="nil"/>
              <w:bottom w:val="single" w:color="auto" w:sz="4" w:space="0"/>
              <w:right w:val="single" w:color="auto" w:sz="4" w:space="0"/>
            </w:tcBorders>
            <w:vAlign w:val="center"/>
          </w:tcPr>
          <w:p w14:paraId="5832A0BB">
            <w:pPr>
              <w:rPr>
                <w:rFonts w:ascii="宋体" w:hAnsi="宋体" w:cs="宋体"/>
                <w:b/>
                <w:bCs/>
                <w:color w:val="auto"/>
                <w:szCs w:val="21"/>
              </w:rPr>
            </w:pPr>
            <w:r>
              <w:rPr>
                <w:rFonts w:hint="eastAsia" w:ascii="宋体" w:hAnsi="宋体"/>
                <w:color w:val="auto"/>
                <w:szCs w:val="21"/>
              </w:rPr>
              <w:t>实质性条款响应一览表</w:t>
            </w:r>
            <w:r>
              <w:rPr>
                <w:rFonts w:ascii="宋体" w:hAnsi="宋体"/>
                <w:color w:val="auto"/>
                <w:szCs w:val="21"/>
              </w:rPr>
              <w:t>(</w:t>
            </w:r>
            <w:r>
              <w:rPr>
                <w:rFonts w:hint="eastAsia" w:ascii="宋体" w:hAnsi="宋体"/>
                <w:color w:val="auto"/>
                <w:szCs w:val="21"/>
              </w:rPr>
              <w:t>格式7</w:t>
            </w:r>
            <w:r>
              <w:rPr>
                <w:rFonts w:ascii="宋体" w:hAnsi="宋体"/>
                <w:color w:val="auto"/>
                <w:szCs w:val="21"/>
              </w:rPr>
              <w:t>)</w:t>
            </w:r>
          </w:p>
        </w:tc>
        <w:tc>
          <w:tcPr>
            <w:tcW w:w="725" w:type="dxa"/>
            <w:tcBorders>
              <w:top w:val="single" w:color="auto" w:sz="4" w:space="0"/>
              <w:left w:val="nil"/>
              <w:bottom w:val="single" w:color="auto" w:sz="4" w:space="0"/>
              <w:right w:val="single" w:color="auto" w:sz="4" w:space="0"/>
            </w:tcBorders>
            <w:vAlign w:val="bottom"/>
          </w:tcPr>
          <w:p w14:paraId="5A8D034C">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8278F28">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36DC5B47">
            <w:pPr>
              <w:jc w:val="center"/>
              <w:rPr>
                <w:rFonts w:ascii="宋体" w:hAnsi="宋体" w:cs="宋体"/>
                <w:b/>
                <w:bCs/>
                <w:color w:val="auto"/>
                <w:szCs w:val="21"/>
              </w:rPr>
            </w:pPr>
          </w:p>
        </w:tc>
      </w:tr>
      <w:tr w14:paraId="5DEB5767">
        <w:tblPrEx>
          <w:tblCellMar>
            <w:top w:w="0" w:type="dxa"/>
            <w:left w:w="108" w:type="dxa"/>
            <w:bottom w:w="0" w:type="dxa"/>
            <w:right w:w="108" w:type="dxa"/>
          </w:tblCellMar>
        </w:tblPrEx>
        <w:trPr>
          <w:trHeight w:val="259" w:hRule="atLeast"/>
        </w:trPr>
        <w:tc>
          <w:tcPr>
            <w:tcW w:w="675" w:type="dxa"/>
            <w:tcBorders>
              <w:top w:val="single" w:color="auto" w:sz="4" w:space="0"/>
              <w:left w:val="single" w:color="auto" w:sz="4" w:space="0"/>
              <w:bottom w:val="single" w:color="auto" w:sz="4" w:space="0"/>
              <w:right w:val="single" w:color="auto" w:sz="4" w:space="0"/>
            </w:tcBorders>
            <w:vAlign w:val="center"/>
          </w:tcPr>
          <w:p w14:paraId="7BA69BDB">
            <w:pPr>
              <w:rPr>
                <w:rFonts w:ascii="宋体" w:hAnsi="宋体" w:cs="宋体"/>
                <w:b/>
                <w:bCs/>
                <w:color w:val="auto"/>
                <w:szCs w:val="21"/>
              </w:rPr>
            </w:pPr>
            <w:r>
              <w:rPr>
                <w:rFonts w:hint="eastAsia" w:ascii="宋体" w:hAnsi="宋体" w:cs="宋体"/>
                <w:b/>
                <w:bCs/>
                <w:color w:val="auto"/>
                <w:szCs w:val="21"/>
              </w:rPr>
              <w:t>三</w:t>
            </w:r>
          </w:p>
        </w:tc>
        <w:tc>
          <w:tcPr>
            <w:tcW w:w="6952" w:type="dxa"/>
            <w:tcBorders>
              <w:top w:val="single" w:color="auto" w:sz="4" w:space="0"/>
              <w:left w:val="nil"/>
              <w:bottom w:val="single" w:color="auto" w:sz="4" w:space="0"/>
              <w:right w:val="single" w:color="auto" w:sz="4" w:space="0"/>
            </w:tcBorders>
            <w:vAlign w:val="center"/>
          </w:tcPr>
          <w:p w14:paraId="10551797">
            <w:pPr>
              <w:rPr>
                <w:rFonts w:ascii="宋体" w:hAnsi="宋体" w:cs="宋体"/>
                <w:b/>
                <w:bCs/>
                <w:color w:val="auto"/>
                <w:szCs w:val="21"/>
              </w:rPr>
            </w:pPr>
            <w:r>
              <w:rPr>
                <w:rFonts w:hint="eastAsia" w:ascii="宋体" w:hAnsi="宋体" w:cs="宋体"/>
                <w:b/>
                <w:bCs/>
                <w:color w:val="auto"/>
                <w:szCs w:val="21"/>
              </w:rPr>
              <w:t>商务文件目录表</w:t>
            </w:r>
          </w:p>
        </w:tc>
        <w:tc>
          <w:tcPr>
            <w:tcW w:w="725" w:type="dxa"/>
            <w:tcBorders>
              <w:top w:val="single" w:color="auto" w:sz="4" w:space="0"/>
              <w:left w:val="nil"/>
              <w:bottom w:val="single" w:color="auto" w:sz="4" w:space="0"/>
              <w:right w:val="single" w:color="auto" w:sz="4" w:space="0"/>
            </w:tcBorders>
            <w:vAlign w:val="bottom"/>
          </w:tcPr>
          <w:p w14:paraId="09F1A0E1">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42518119">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688043F9">
            <w:pPr>
              <w:jc w:val="center"/>
              <w:rPr>
                <w:rFonts w:ascii="宋体" w:hAnsi="宋体" w:cs="宋体"/>
                <w:b/>
                <w:bCs/>
                <w:color w:val="auto"/>
                <w:szCs w:val="21"/>
              </w:rPr>
            </w:pPr>
          </w:p>
        </w:tc>
      </w:tr>
      <w:tr w14:paraId="056B0425">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45FE1A88">
            <w:pPr>
              <w:rPr>
                <w:rFonts w:ascii="宋体" w:hAnsi="宋体"/>
                <w:color w:val="auto"/>
                <w:szCs w:val="21"/>
              </w:rPr>
            </w:pPr>
            <w:r>
              <w:rPr>
                <w:rFonts w:hint="eastAsia" w:ascii="宋体" w:hAnsi="宋体"/>
                <w:color w:val="auto"/>
                <w:szCs w:val="21"/>
              </w:rPr>
              <w:t>3.1</w:t>
            </w:r>
          </w:p>
        </w:tc>
        <w:tc>
          <w:tcPr>
            <w:tcW w:w="6952" w:type="dxa"/>
            <w:tcBorders>
              <w:top w:val="single" w:color="auto" w:sz="4" w:space="0"/>
              <w:left w:val="nil"/>
              <w:bottom w:val="single" w:color="auto" w:sz="4" w:space="0"/>
              <w:right w:val="single" w:color="auto" w:sz="4" w:space="0"/>
            </w:tcBorders>
            <w:vAlign w:val="center"/>
          </w:tcPr>
          <w:p w14:paraId="4227E8BA">
            <w:pPr>
              <w:rPr>
                <w:rFonts w:ascii="宋体" w:hAnsi="宋体" w:cs="宋体"/>
                <w:color w:val="auto"/>
                <w:szCs w:val="21"/>
              </w:rPr>
            </w:pPr>
            <w:r>
              <w:rPr>
                <w:rFonts w:ascii="宋体" w:hAnsi="宋体"/>
                <w:color w:val="auto"/>
                <w:szCs w:val="21"/>
              </w:rPr>
              <w:t>同意采购文件条款说明</w:t>
            </w:r>
            <w:r>
              <w:rPr>
                <w:rFonts w:hint="eastAsia" w:ascii="宋体" w:hAnsi="宋体"/>
                <w:color w:val="auto"/>
                <w:szCs w:val="21"/>
              </w:rPr>
              <w:t>（格式8）</w:t>
            </w:r>
          </w:p>
        </w:tc>
        <w:tc>
          <w:tcPr>
            <w:tcW w:w="725" w:type="dxa"/>
            <w:tcBorders>
              <w:top w:val="single" w:color="auto" w:sz="4" w:space="0"/>
              <w:left w:val="nil"/>
              <w:bottom w:val="single" w:color="auto" w:sz="4" w:space="0"/>
              <w:right w:val="single" w:color="auto" w:sz="4" w:space="0"/>
            </w:tcBorders>
            <w:vAlign w:val="bottom"/>
          </w:tcPr>
          <w:p w14:paraId="292B41F3">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14:paraId="75316749">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14:paraId="58E70545">
            <w:pPr>
              <w:jc w:val="center"/>
              <w:rPr>
                <w:rFonts w:ascii="宋体" w:hAnsi="宋体" w:cs="宋体"/>
                <w:b/>
                <w:bCs/>
                <w:color w:val="auto"/>
                <w:szCs w:val="21"/>
              </w:rPr>
            </w:pPr>
          </w:p>
        </w:tc>
      </w:tr>
      <w:tr w14:paraId="41E35C05">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14:paraId="52E51778">
            <w:pPr>
              <w:rPr>
                <w:rFonts w:ascii="宋体" w:hAnsi="宋体"/>
                <w:color w:val="auto"/>
                <w:szCs w:val="21"/>
              </w:rPr>
            </w:pPr>
            <w:r>
              <w:rPr>
                <w:rFonts w:hint="eastAsia" w:ascii="宋体" w:hAnsi="宋体"/>
                <w:color w:val="auto"/>
                <w:szCs w:val="21"/>
              </w:rPr>
              <w:t>3.2</w:t>
            </w:r>
          </w:p>
        </w:tc>
        <w:tc>
          <w:tcPr>
            <w:tcW w:w="6952" w:type="dxa"/>
            <w:tcBorders>
              <w:top w:val="nil"/>
              <w:left w:val="nil"/>
              <w:bottom w:val="single" w:color="auto" w:sz="4" w:space="0"/>
              <w:right w:val="single" w:color="auto" w:sz="4" w:space="0"/>
            </w:tcBorders>
            <w:vAlign w:val="center"/>
          </w:tcPr>
          <w:p w14:paraId="0C2F7D58">
            <w:pPr>
              <w:rPr>
                <w:rFonts w:ascii="宋体" w:hAnsi="宋体" w:cs="宋体"/>
                <w:color w:val="auto"/>
                <w:szCs w:val="21"/>
              </w:rPr>
            </w:pPr>
            <w:r>
              <w:rPr>
                <w:rFonts w:hint="eastAsia" w:ascii="宋体" w:hAnsi="宋体" w:cs="宋体"/>
                <w:color w:val="auto"/>
                <w:szCs w:val="21"/>
              </w:rPr>
              <w:t>供应商简介（格式自定）</w:t>
            </w:r>
          </w:p>
        </w:tc>
        <w:tc>
          <w:tcPr>
            <w:tcW w:w="725" w:type="dxa"/>
            <w:tcBorders>
              <w:top w:val="nil"/>
              <w:left w:val="nil"/>
              <w:bottom w:val="single" w:color="auto" w:sz="4" w:space="0"/>
              <w:right w:val="single" w:color="auto" w:sz="4" w:space="0"/>
            </w:tcBorders>
            <w:vAlign w:val="bottom"/>
          </w:tcPr>
          <w:p w14:paraId="21DAE726">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14:paraId="4075438D">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14:paraId="22627AA4">
            <w:pPr>
              <w:rPr>
                <w:rFonts w:ascii="宋体" w:hAnsi="宋体"/>
                <w:color w:val="auto"/>
                <w:szCs w:val="21"/>
              </w:rPr>
            </w:pPr>
            <w:r>
              <w:rPr>
                <w:rFonts w:ascii="宋体" w:hAnsi="宋体"/>
                <w:color w:val="auto"/>
                <w:szCs w:val="21"/>
              </w:rPr>
              <w:t>　</w:t>
            </w:r>
          </w:p>
        </w:tc>
      </w:tr>
      <w:tr w14:paraId="2B9DBE5B">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14:paraId="683409E7">
            <w:pPr>
              <w:rPr>
                <w:rFonts w:ascii="宋体" w:hAnsi="宋体"/>
                <w:color w:val="auto"/>
                <w:szCs w:val="21"/>
              </w:rPr>
            </w:pPr>
            <w:r>
              <w:rPr>
                <w:rFonts w:hint="eastAsia" w:ascii="宋体" w:hAnsi="宋体"/>
                <w:color w:val="auto"/>
                <w:szCs w:val="21"/>
              </w:rPr>
              <w:t>3.3</w:t>
            </w:r>
          </w:p>
        </w:tc>
        <w:tc>
          <w:tcPr>
            <w:tcW w:w="6952" w:type="dxa"/>
            <w:tcBorders>
              <w:top w:val="nil"/>
              <w:left w:val="nil"/>
              <w:bottom w:val="single" w:color="auto" w:sz="4" w:space="0"/>
              <w:right w:val="single" w:color="auto" w:sz="4" w:space="0"/>
            </w:tcBorders>
            <w:vAlign w:val="center"/>
          </w:tcPr>
          <w:p w14:paraId="50E5624D">
            <w:pPr>
              <w:rPr>
                <w:rFonts w:ascii="宋体" w:hAnsi="宋体" w:cs="宋体"/>
                <w:color w:val="auto"/>
                <w:szCs w:val="21"/>
              </w:rPr>
            </w:pPr>
            <w:r>
              <w:rPr>
                <w:rFonts w:hint="eastAsia" w:ascii="宋体" w:hAnsi="宋体"/>
                <w:color w:val="auto"/>
                <w:szCs w:val="21"/>
              </w:rPr>
              <w:t>同类项目业绩情况一览表（格式9）</w:t>
            </w:r>
          </w:p>
        </w:tc>
        <w:tc>
          <w:tcPr>
            <w:tcW w:w="725" w:type="dxa"/>
            <w:tcBorders>
              <w:top w:val="nil"/>
              <w:left w:val="nil"/>
              <w:bottom w:val="single" w:color="auto" w:sz="4" w:space="0"/>
              <w:right w:val="single" w:color="auto" w:sz="4" w:space="0"/>
            </w:tcBorders>
            <w:vAlign w:val="bottom"/>
          </w:tcPr>
          <w:p w14:paraId="6181F13F">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14:paraId="573C89C4">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14:paraId="6F2A7895">
            <w:pPr>
              <w:rPr>
                <w:rFonts w:ascii="宋体" w:hAnsi="宋体"/>
                <w:color w:val="auto"/>
                <w:szCs w:val="21"/>
              </w:rPr>
            </w:pPr>
            <w:r>
              <w:rPr>
                <w:rFonts w:ascii="宋体" w:hAnsi="宋体"/>
                <w:color w:val="auto"/>
                <w:szCs w:val="21"/>
              </w:rPr>
              <w:t>　</w:t>
            </w:r>
          </w:p>
        </w:tc>
      </w:tr>
      <w:tr w14:paraId="79B2F03E">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14:paraId="4A874DA2">
            <w:pPr>
              <w:rPr>
                <w:rFonts w:ascii="宋体" w:hAnsi="宋体"/>
                <w:color w:val="auto"/>
                <w:szCs w:val="21"/>
              </w:rPr>
            </w:pPr>
            <w:r>
              <w:rPr>
                <w:rFonts w:hint="eastAsia" w:ascii="宋体" w:hAnsi="宋体"/>
                <w:color w:val="auto"/>
                <w:szCs w:val="21"/>
              </w:rPr>
              <w:t>3.4</w:t>
            </w:r>
          </w:p>
        </w:tc>
        <w:tc>
          <w:tcPr>
            <w:tcW w:w="6952" w:type="dxa"/>
            <w:tcBorders>
              <w:top w:val="nil"/>
              <w:left w:val="nil"/>
              <w:bottom w:val="single" w:color="auto" w:sz="4" w:space="0"/>
              <w:right w:val="single" w:color="auto" w:sz="4" w:space="0"/>
            </w:tcBorders>
            <w:vAlign w:val="center"/>
          </w:tcPr>
          <w:p w14:paraId="13AC4381">
            <w:pPr>
              <w:rPr>
                <w:rFonts w:ascii="宋体" w:hAnsi="宋体"/>
                <w:color w:val="auto"/>
                <w:szCs w:val="21"/>
              </w:rPr>
            </w:pPr>
            <w:r>
              <w:rPr>
                <w:rFonts w:hint="eastAsia" w:ascii="宋体" w:hAnsi="宋体" w:cs="宋体"/>
                <w:color w:val="auto"/>
                <w:szCs w:val="21"/>
              </w:rPr>
              <w:t>拟派本项目负责人及主要人员情况表（格式10）</w:t>
            </w:r>
          </w:p>
        </w:tc>
        <w:tc>
          <w:tcPr>
            <w:tcW w:w="725" w:type="dxa"/>
            <w:tcBorders>
              <w:top w:val="nil"/>
              <w:left w:val="nil"/>
              <w:bottom w:val="single" w:color="auto" w:sz="4" w:space="0"/>
              <w:right w:val="single" w:color="auto" w:sz="4" w:space="0"/>
            </w:tcBorders>
            <w:vAlign w:val="bottom"/>
          </w:tcPr>
          <w:p w14:paraId="1C71E180">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14:paraId="299A9D4A">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14:paraId="58C3D9D1">
            <w:pPr>
              <w:rPr>
                <w:rFonts w:ascii="宋体" w:hAnsi="宋体"/>
                <w:color w:val="auto"/>
                <w:szCs w:val="21"/>
              </w:rPr>
            </w:pPr>
            <w:r>
              <w:rPr>
                <w:rFonts w:ascii="宋体" w:hAnsi="宋体"/>
                <w:color w:val="auto"/>
                <w:szCs w:val="21"/>
              </w:rPr>
              <w:t>　</w:t>
            </w:r>
          </w:p>
        </w:tc>
      </w:tr>
      <w:tr w14:paraId="72D368B4">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14:paraId="137FD793">
            <w:pPr>
              <w:rPr>
                <w:rFonts w:ascii="宋体" w:hAnsi="宋体"/>
                <w:color w:val="auto"/>
                <w:szCs w:val="21"/>
              </w:rPr>
            </w:pPr>
            <w:r>
              <w:rPr>
                <w:rFonts w:hint="eastAsia" w:ascii="宋体" w:hAnsi="宋体"/>
                <w:color w:val="auto"/>
                <w:szCs w:val="21"/>
              </w:rPr>
              <w:t>3.5</w:t>
            </w:r>
          </w:p>
        </w:tc>
        <w:tc>
          <w:tcPr>
            <w:tcW w:w="6952" w:type="dxa"/>
            <w:tcBorders>
              <w:top w:val="nil"/>
              <w:left w:val="nil"/>
              <w:bottom w:val="single" w:color="auto" w:sz="4" w:space="0"/>
              <w:right w:val="single" w:color="auto" w:sz="4" w:space="0"/>
            </w:tcBorders>
            <w:vAlign w:val="center"/>
          </w:tcPr>
          <w:p w14:paraId="617832DA">
            <w:pPr>
              <w:rPr>
                <w:rFonts w:ascii="宋体" w:hAnsi="宋体"/>
                <w:color w:val="auto"/>
                <w:szCs w:val="21"/>
              </w:rPr>
            </w:pPr>
            <w:r>
              <w:rPr>
                <w:rFonts w:hint="eastAsia" w:ascii="宋体" w:hAnsi="宋体" w:cs="宋体"/>
                <w:color w:val="auto"/>
                <w:szCs w:val="21"/>
              </w:rPr>
              <w:t>合同条款响应表</w:t>
            </w:r>
            <w:r>
              <w:rPr>
                <w:rFonts w:ascii="宋体" w:hAnsi="宋体"/>
                <w:color w:val="auto"/>
                <w:szCs w:val="21"/>
              </w:rPr>
              <w:t>(</w:t>
            </w:r>
            <w:r>
              <w:rPr>
                <w:rFonts w:hint="eastAsia" w:ascii="宋体" w:hAnsi="宋体" w:cs="宋体"/>
                <w:color w:val="auto"/>
                <w:szCs w:val="21"/>
              </w:rPr>
              <w:t>格式</w:t>
            </w:r>
            <w:r>
              <w:rPr>
                <w:rFonts w:hint="eastAsia" w:ascii="宋体" w:hAnsi="宋体"/>
                <w:color w:val="auto"/>
                <w:szCs w:val="21"/>
              </w:rPr>
              <w:t>11</w:t>
            </w:r>
            <w:r>
              <w:rPr>
                <w:rFonts w:ascii="宋体" w:hAnsi="宋体"/>
                <w:color w:val="auto"/>
                <w:szCs w:val="21"/>
              </w:rPr>
              <w:t>)</w:t>
            </w:r>
          </w:p>
        </w:tc>
        <w:tc>
          <w:tcPr>
            <w:tcW w:w="725" w:type="dxa"/>
            <w:tcBorders>
              <w:top w:val="nil"/>
              <w:left w:val="nil"/>
              <w:bottom w:val="single" w:color="auto" w:sz="4" w:space="0"/>
              <w:right w:val="single" w:color="auto" w:sz="4" w:space="0"/>
            </w:tcBorders>
            <w:vAlign w:val="bottom"/>
          </w:tcPr>
          <w:p w14:paraId="5C576CB6">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14:paraId="6BDA9554">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14:paraId="2406C9ED">
            <w:pPr>
              <w:rPr>
                <w:rFonts w:ascii="宋体" w:hAnsi="宋体"/>
                <w:color w:val="auto"/>
                <w:szCs w:val="21"/>
              </w:rPr>
            </w:pPr>
            <w:r>
              <w:rPr>
                <w:rFonts w:ascii="宋体" w:hAnsi="宋体"/>
                <w:color w:val="auto"/>
                <w:szCs w:val="21"/>
              </w:rPr>
              <w:t>　</w:t>
            </w:r>
          </w:p>
        </w:tc>
      </w:tr>
      <w:tr w14:paraId="58DE73BE">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14:paraId="71AB7896">
            <w:pPr>
              <w:rPr>
                <w:rFonts w:ascii="宋体" w:hAnsi="宋体"/>
                <w:color w:val="auto"/>
                <w:szCs w:val="21"/>
              </w:rPr>
            </w:pPr>
            <w:r>
              <w:rPr>
                <w:rFonts w:hint="eastAsia" w:ascii="宋体" w:hAnsi="宋体"/>
                <w:color w:val="auto"/>
                <w:szCs w:val="21"/>
              </w:rPr>
              <w:t>3.6</w:t>
            </w:r>
          </w:p>
        </w:tc>
        <w:tc>
          <w:tcPr>
            <w:tcW w:w="6952" w:type="dxa"/>
            <w:tcBorders>
              <w:top w:val="nil"/>
              <w:left w:val="nil"/>
              <w:bottom w:val="single" w:color="auto" w:sz="4" w:space="0"/>
              <w:right w:val="single" w:color="auto" w:sz="4" w:space="0"/>
            </w:tcBorders>
            <w:vAlign w:val="center"/>
          </w:tcPr>
          <w:p w14:paraId="358E4C77">
            <w:pPr>
              <w:rPr>
                <w:rFonts w:ascii="宋体" w:hAnsi="宋体" w:cs="宋体"/>
                <w:color w:val="auto"/>
                <w:szCs w:val="21"/>
              </w:rPr>
            </w:pPr>
            <w:r>
              <w:rPr>
                <w:rFonts w:hint="eastAsia" w:ascii="宋体" w:hAnsi="宋体" w:cs="宋体"/>
                <w:color w:val="auto"/>
                <w:szCs w:val="21"/>
              </w:rPr>
              <w:t>缴交招标服务费承诺书</w:t>
            </w:r>
            <w:r>
              <w:rPr>
                <w:rFonts w:ascii="宋体" w:hAnsi="宋体"/>
                <w:color w:val="auto"/>
                <w:szCs w:val="21"/>
              </w:rPr>
              <w:t>(</w:t>
            </w:r>
            <w:r>
              <w:rPr>
                <w:rFonts w:hint="eastAsia" w:ascii="宋体" w:hAnsi="宋体" w:cs="宋体"/>
                <w:color w:val="auto"/>
                <w:szCs w:val="21"/>
              </w:rPr>
              <w:t>格式</w:t>
            </w:r>
            <w:r>
              <w:rPr>
                <w:rFonts w:ascii="宋体" w:hAnsi="宋体"/>
                <w:color w:val="auto"/>
                <w:szCs w:val="21"/>
              </w:rPr>
              <w:t>1</w:t>
            </w:r>
            <w:r>
              <w:rPr>
                <w:rFonts w:hint="eastAsia" w:ascii="宋体" w:hAnsi="宋体"/>
                <w:color w:val="auto"/>
                <w:szCs w:val="21"/>
              </w:rPr>
              <w:t>2</w:t>
            </w:r>
            <w:r>
              <w:rPr>
                <w:rFonts w:ascii="宋体" w:hAnsi="宋体"/>
                <w:color w:val="auto"/>
                <w:szCs w:val="21"/>
              </w:rPr>
              <w:t>)</w:t>
            </w:r>
          </w:p>
        </w:tc>
        <w:tc>
          <w:tcPr>
            <w:tcW w:w="725" w:type="dxa"/>
            <w:tcBorders>
              <w:top w:val="nil"/>
              <w:left w:val="nil"/>
              <w:bottom w:val="single" w:color="auto" w:sz="4" w:space="0"/>
              <w:right w:val="single" w:color="auto" w:sz="4" w:space="0"/>
            </w:tcBorders>
            <w:vAlign w:val="bottom"/>
          </w:tcPr>
          <w:p w14:paraId="0CEF2094">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14:paraId="6196119B">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14:paraId="409344D3">
            <w:pPr>
              <w:rPr>
                <w:rFonts w:ascii="宋体" w:hAnsi="宋体"/>
                <w:color w:val="auto"/>
                <w:szCs w:val="21"/>
              </w:rPr>
            </w:pPr>
            <w:r>
              <w:rPr>
                <w:rFonts w:ascii="宋体" w:hAnsi="宋体"/>
                <w:color w:val="auto"/>
                <w:szCs w:val="21"/>
              </w:rPr>
              <w:t>　</w:t>
            </w:r>
          </w:p>
        </w:tc>
      </w:tr>
      <w:tr w14:paraId="075DE692">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18843616">
            <w:pPr>
              <w:rPr>
                <w:rFonts w:ascii="宋体" w:hAnsi="宋体"/>
                <w:color w:val="auto"/>
                <w:szCs w:val="21"/>
              </w:rPr>
            </w:pPr>
            <w:r>
              <w:rPr>
                <w:rFonts w:hint="eastAsia" w:ascii="宋体" w:hAnsi="宋体"/>
                <w:color w:val="auto"/>
                <w:szCs w:val="21"/>
              </w:rPr>
              <w:t>3.7</w:t>
            </w:r>
          </w:p>
        </w:tc>
        <w:tc>
          <w:tcPr>
            <w:tcW w:w="6952" w:type="dxa"/>
            <w:tcBorders>
              <w:top w:val="nil"/>
              <w:left w:val="nil"/>
              <w:bottom w:val="single" w:color="auto" w:sz="4" w:space="0"/>
              <w:right w:val="single" w:color="auto" w:sz="4" w:space="0"/>
            </w:tcBorders>
            <w:vAlign w:val="center"/>
          </w:tcPr>
          <w:p w14:paraId="385F59F4">
            <w:pPr>
              <w:rPr>
                <w:rFonts w:ascii="宋体" w:hAnsi="宋体" w:cs="宋体"/>
                <w:color w:val="auto"/>
                <w:szCs w:val="21"/>
              </w:rPr>
            </w:pPr>
            <w:r>
              <w:rPr>
                <w:rFonts w:hint="eastAsia" w:ascii="宋体" w:hAnsi="宋体" w:cs="宋体"/>
                <w:color w:val="auto"/>
                <w:szCs w:val="21"/>
              </w:rPr>
              <w:t>供应商认为需要提交的其他商务资料</w:t>
            </w:r>
          </w:p>
        </w:tc>
        <w:tc>
          <w:tcPr>
            <w:tcW w:w="725" w:type="dxa"/>
            <w:tcBorders>
              <w:top w:val="nil"/>
              <w:left w:val="nil"/>
              <w:bottom w:val="single" w:color="auto" w:sz="4" w:space="0"/>
              <w:right w:val="single" w:color="auto" w:sz="4" w:space="0"/>
            </w:tcBorders>
            <w:vAlign w:val="bottom"/>
          </w:tcPr>
          <w:p w14:paraId="7130BC39">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14:paraId="507E3A67">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14:paraId="1A82B0FE">
            <w:pPr>
              <w:rPr>
                <w:rFonts w:ascii="宋体" w:hAnsi="宋体"/>
                <w:color w:val="auto"/>
                <w:szCs w:val="21"/>
              </w:rPr>
            </w:pPr>
            <w:r>
              <w:rPr>
                <w:rFonts w:ascii="宋体" w:hAnsi="宋体"/>
                <w:color w:val="auto"/>
                <w:szCs w:val="21"/>
              </w:rPr>
              <w:t>　</w:t>
            </w:r>
          </w:p>
        </w:tc>
      </w:tr>
      <w:tr w14:paraId="60F252A7">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14:paraId="6B9F44CE">
            <w:pPr>
              <w:rPr>
                <w:rFonts w:ascii="宋体" w:hAnsi="宋体"/>
                <w:color w:val="auto"/>
                <w:szCs w:val="21"/>
              </w:rPr>
            </w:pPr>
            <w:r>
              <w:rPr>
                <w:rFonts w:hint="eastAsia" w:ascii="宋体" w:hAnsi="宋体" w:cs="宋体"/>
                <w:b/>
                <w:bCs/>
                <w:color w:val="auto"/>
                <w:szCs w:val="21"/>
              </w:rPr>
              <w:t>四</w:t>
            </w:r>
          </w:p>
        </w:tc>
        <w:tc>
          <w:tcPr>
            <w:tcW w:w="6952" w:type="dxa"/>
            <w:tcBorders>
              <w:top w:val="single" w:color="auto" w:sz="4" w:space="0"/>
              <w:left w:val="nil"/>
              <w:bottom w:val="single" w:color="auto" w:sz="4" w:space="0"/>
              <w:right w:val="single" w:color="auto" w:sz="4" w:space="0"/>
            </w:tcBorders>
            <w:vAlign w:val="center"/>
          </w:tcPr>
          <w:p w14:paraId="37896F10">
            <w:pPr>
              <w:rPr>
                <w:rFonts w:ascii="宋体" w:hAnsi="宋体" w:cs="宋体"/>
                <w:color w:val="auto"/>
                <w:szCs w:val="21"/>
              </w:rPr>
            </w:pPr>
            <w:r>
              <w:rPr>
                <w:rFonts w:hint="eastAsia" w:ascii="宋体" w:hAnsi="宋体" w:cs="宋体"/>
                <w:b/>
                <w:bCs/>
                <w:color w:val="auto"/>
                <w:szCs w:val="21"/>
              </w:rPr>
              <w:t>技术文件响应表</w:t>
            </w:r>
          </w:p>
        </w:tc>
        <w:tc>
          <w:tcPr>
            <w:tcW w:w="725" w:type="dxa"/>
            <w:tcBorders>
              <w:top w:val="single" w:color="auto" w:sz="4" w:space="0"/>
              <w:left w:val="nil"/>
              <w:bottom w:val="single" w:color="auto" w:sz="4" w:space="0"/>
              <w:right w:val="single" w:color="auto" w:sz="4" w:space="0"/>
            </w:tcBorders>
            <w:vAlign w:val="bottom"/>
          </w:tcPr>
          <w:p w14:paraId="6F398C5A">
            <w:pPr>
              <w:rPr>
                <w:rFonts w:ascii="宋体" w:hAnsi="宋体"/>
                <w:color w:val="auto"/>
                <w:szCs w:val="21"/>
              </w:rPr>
            </w:pPr>
          </w:p>
        </w:tc>
        <w:tc>
          <w:tcPr>
            <w:tcW w:w="726" w:type="dxa"/>
            <w:tcBorders>
              <w:top w:val="single" w:color="auto" w:sz="4" w:space="0"/>
              <w:left w:val="nil"/>
              <w:bottom w:val="single" w:color="auto" w:sz="4" w:space="0"/>
              <w:right w:val="single" w:color="auto" w:sz="4" w:space="0"/>
            </w:tcBorders>
            <w:vAlign w:val="bottom"/>
          </w:tcPr>
          <w:p w14:paraId="4DDD2F66">
            <w:pPr>
              <w:rPr>
                <w:rFonts w:ascii="宋体" w:hAnsi="宋体"/>
                <w:color w:val="auto"/>
                <w:szCs w:val="21"/>
              </w:rPr>
            </w:pPr>
          </w:p>
        </w:tc>
        <w:tc>
          <w:tcPr>
            <w:tcW w:w="362" w:type="dxa"/>
            <w:tcBorders>
              <w:top w:val="single" w:color="auto" w:sz="4" w:space="0"/>
              <w:left w:val="nil"/>
              <w:bottom w:val="single" w:color="auto" w:sz="4" w:space="0"/>
              <w:right w:val="single" w:color="auto" w:sz="4" w:space="0"/>
            </w:tcBorders>
            <w:vAlign w:val="bottom"/>
          </w:tcPr>
          <w:p w14:paraId="7EDFB576">
            <w:pPr>
              <w:rPr>
                <w:rFonts w:ascii="宋体" w:hAnsi="宋体"/>
                <w:color w:val="auto"/>
                <w:szCs w:val="21"/>
              </w:rPr>
            </w:pPr>
          </w:p>
        </w:tc>
      </w:tr>
      <w:tr w14:paraId="1BC74E7A">
        <w:tblPrEx>
          <w:tblCellMar>
            <w:top w:w="0" w:type="dxa"/>
            <w:left w:w="108" w:type="dxa"/>
            <w:bottom w:w="0" w:type="dxa"/>
            <w:right w:w="108" w:type="dxa"/>
          </w:tblCellMar>
        </w:tblPrEx>
        <w:trPr>
          <w:trHeight w:val="271" w:hRule="atLeast"/>
        </w:trPr>
        <w:tc>
          <w:tcPr>
            <w:tcW w:w="675" w:type="dxa"/>
            <w:tcBorders>
              <w:top w:val="single" w:color="auto" w:sz="4" w:space="0"/>
              <w:left w:val="single" w:color="auto" w:sz="4" w:space="0"/>
              <w:bottom w:val="single" w:color="auto" w:sz="4" w:space="0"/>
              <w:right w:val="single" w:color="auto" w:sz="4" w:space="0"/>
            </w:tcBorders>
            <w:vAlign w:val="center"/>
          </w:tcPr>
          <w:p w14:paraId="5C0F3A76">
            <w:pPr>
              <w:rPr>
                <w:rFonts w:ascii="宋体" w:hAnsi="宋体"/>
                <w:color w:val="auto"/>
                <w:szCs w:val="21"/>
              </w:rPr>
            </w:pPr>
            <w:r>
              <w:rPr>
                <w:rFonts w:hint="eastAsia" w:ascii="宋体" w:hAnsi="宋体"/>
                <w:color w:val="auto"/>
                <w:szCs w:val="21"/>
              </w:rPr>
              <w:t>4.1</w:t>
            </w:r>
          </w:p>
        </w:tc>
        <w:tc>
          <w:tcPr>
            <w:tcW w:w="6952" w:type="dxa"/>
            <w:tcBorders>
              <w:top w:val="single" w:color="auto" w:sz="4" w:space="0"/>
              <w:left w:val="nil"/>
              <w:bottom w:val="single" w:color="auto" w:sz="4" w:space="0"/>
              <w:right w:val="single" w:color="auto" w:sz="4" w:space="0"/>
            </w:tcBorders>
            <w:vAlign w:val="center"/>
          </w:tcPr>
          <w:p w14:paraId="04ECC8BE">
            <w:pPr>
              <w:rPr>
                <w:rFonts w:ascii="宋体" w:hAnsi="宋体"/>
                <w:color w:val="auto"/>
                <w:szCs w:val="21"/>
              </w:rPr>
            </w:pPr>
            <w:r>
              <w:rPr>
                <w:rFonts w:hint="eastAsia" w:ascii="宋体" w:hAnsi="宋体"/>
                <w:color w:val="auto"/>
                <w:szCs w:val="21"/>
              </w:rPr>
              <w:t>服务方案（格式13）</w:t>
            </w:r>
          </w:p>
        </w:tc>
        <w:tc>
          <w:tcPr>
            <w:tcW w:w="725" w:type="dxa"/>
            <w:tcBorders>
              <w:top w:val="single" w:color="auto" w:sz="4" w:space="0"/>
              <w:left w:val="nil"/>
              <w:bottom w:val="single" w:color="auto" w:sz="4" w:space="0"/>
              <w:right w:val="single" w:color="auto" w:sz="4" w:space="0"/>
            </w:tcBorders>
            <w:vAlign w:val="bottom"/>
          </w:tcPr>
          <w:p w14:paraId="6D57D864">
            <w:pPr>
              <w:rPr>
                <w:rFonts w:ascii="宋体" w:hAnsi="宋体"/>
                <w:color w:val="auto"/>
                <w:szCs w:val="21"/>
              </w:rPr>
            </w:pPr>
          </w:p>
        </w:tc>
        <w:tc>
          <w:tcPr>
            <w:tcW w:w="726" w:type="dxa"/>
            <w:tcBorders>
              <w:top w:val="single" w:color="auto" w:sz="4" w:space="0"/>
              <w:left w:val="nil"/>
              <w:bottom w:val="single" w:color="auto" w:sz="4" w:space="0"/>
              <w:right w:val="single" w:color="auto" w:sz="4" w:space="0"/>
            </w:tcBorders>
            <w:vAlign w:val="bottom"/>
          </w:tcPr>
          <w:p w14:paraId="30DB27CE">
            <w:pPr>
              <w:rPr>
                <w:rFonts w:ascii="宋体" w:hAnsi="宋体"/>
                <w:color w:val="auto"/>
                <w:szCs w:val="21"/>
              </w:rPr>
            </w:pPr>
          </w:p>
        </w:tc>
        <w:tc>
          <w:tcPr>
            <w:tcW w:w="362" w:type="dxa"/>
            <w:tcBorders>
              <w:top w:val="single" w:color="auto" w:sz="4" w:space="0"/>
              <w:left w:val="nil"/>
              <w:bottom w:val="single" w:color="auto" w:sz="4" w:space="0"/>
              <w:right w:val="single" w:color="auto" w:sz="4" w:space="0"/>
            </w:tcBorders>
            <w:vAlign w:val="bottom"/>
          </w:tcPr>
          <w:p w14:paraId="558A6F57">
            <w:pPr>
              <w:rPr>
                <w:rFonts w:ascii="宋体" w:hAnsi="宋体"/>
                <w:color w:val="auto"/>
                <w:szCs w:val="21"/>
              </w:rPr>
            </w:pPr>
          </w:p>
        </w:tc>
      </w:tr>
      <w:tr w14:paraId="7B8A7B5D">
        <w:tblPrEx>
          <w:tblCellMar>
            <w:top w:w="0" w:type="dxa"/>
            <w:left w:w="108" w:type="dxa"/>
            <w:bottom w:w="0" w:type="dxa"/>
            <w:right w:w="108" w:type="dxa"/>
          </w:tblCellMar>
        </w:tblPrEx>
        <w:trPr>
          <w:trHeight w:val="256" w:hRule="atLeast"/>
        </w:trPr>
        <w:tc>
          <w:tcPr>
            <w:tcW w:w="675" w:type="dxa"/>
            <w:tcBorders>
              <w:top w:val="single" w:color="auto" w:sz="4" w:space="0"/>
              <w:left w:val="single" w:color="auto" w:sz="4" w:space="0"/>
              <w:bottom w:val="single" w:color="auto" w:sz="4" w:space="0"/>
              <w:right w:val="single" w:color="auto" w:sz="4" w:space="0"/>
            </w:tcBorders>
            <w:vAlign w:val="center"/>
          </w:tcPr>
          <w:p w14:paraId="1AFBE4ED">
            <w:pPr>
              <w:rPr>
                <w:rFonts w:ascii="宋体" w:hAnsi="宋体"/>
                <w:color w:val="auto"/>
                <w:szCs w:val="21"/>
              </w:rPr>
            </w:pPr>
            <w:r>
              <w:rPr>
                <w:rFonts w:hint="eastAsia" w:ascii="宋体" w:hAnsi="宋体"/>
                <w:color w:val="auto"/>
                <w:szCs w:val="21"/>
              </w:rPr>
              <w:t>4.2</w:t>
            </w:r>
          </w:p>
        </w:tc>
        <w:tc>
          <w:tcPr>
            <w:tcW w:w="6952" w:type="dxa"/>
            <w:tcBorders>
              <w:top w:val="single" w:color="auto" w:sz="4" w:space="0"/>
              <w:left w:val="nil"/>
              <w:bottom w:val="single" w:color="auto" w:sz="4" w:space="0"/>
              <w:right w:val="single" w:color="auto" w:sz="4" w:space="0"/>
            </w:tcBorders>
            <w:vAlign w:val="center"/>
          </w:tcPr>
          <w:p w14:paraId="098F0704">
            <w:pPr>
              <w:rPr>
                <w:rFonts w:ascii="宋体" w:hAnsi="宋体"/>
                <w:color w:val="auto"/>
                <w:szCs w:val="21"/>
              </w:rPr>
            </w:pPr>
            <w:r>
              <w:rPr>
                <w:rFonts w:hint="eastAsia" w:ascii="宋体" w:hAnsi="宋体"/>
                <w:color w:val="auto"/>
                <w:szCs w:val="21"/>
              </w:rPr>
              <w:t>供应商认为需要提交的其他技术资料</w:t>
            </w:r>
          </w:p>
        </w:tc>
        <w:tc>
          <w:tcPr>
            <w:tcW w:w="725" w:type="dxa"/>
            <w:tcBorders>
              <w:top w:val="single" w:color="auto" w:sz="4" w:space="0"/>
              <w:left w:val="nil"/>
              <w:bottom w:val="single" w:color="auto" w:sz="4" w:space="0"/>
              <w:right w:val="single" w:color="auto" w:sz="4" w:space="0"/>
            </w:tcBorders>
            <w:vAlign w:val="bottom"/>
          </w:tcPr>
          <w:p w14:paraId="1CED3006">
            <w:pPr>
              <w:rPr>
                <w:rFonts w:ascii="宋体" w:hAnsi="宋体"/>
                <w:color w:val="auto"/>
                <w:szCs w:val="21"/>
              </w:rPr>
            </w:pPr>
          </w:p>
        </w:tc>
        <w:tc>
          <w:tcPr>
            <w:tcW w:w="726" w:type="dxa"/>
            <w:tcBorders>
              <w:top w:val="single" w:color="auto" w:sz="4" w:space="0"/>
              <w:left w:val="nil"/>
              <w:bottom w:val="single" w:color="auto" w:sz="4" w:space="0"/>
              <w:right w:val="single" w:color="auto" w:sz="4" w:space="0"/>
            </w:tcBorders>
            <w:vAlign w:val="bottom"/>
          </w:tcPr>
          <w:p w14:paraId="117EBF7E">
            <w:pPr>
              <w:rPr>
                <w:rFonts w:ascii="宋体" w:hAnsi="宋体"/>
                <w:color w:val="auto"/>
                <w:szCs w:val="21"/>
              </w:rPr>
            </w:pPr>
          </w:p>
        </w:tc>
        <w:tc>
          <w:tcPr>
            <w:tcW w:w="362" w:type="dxa"/>
            <w:tcBorders>
              <w:top w:val="single" w:color="auto" w:sz="4" w:space="0"/>
              <w:left w:val="nil"/>
              <w:bottom w:val="single" w:color="auto" w:sz="4" w:space="0"/>
              <w:right w:val="single" w:color="auto" w:sz="4" w:space="0"/>
            </w:tcBorders>
            <w:vAlign w:val="bottom"/>
          </w:tcPr>
          <w:p w14:paraId="22572CC4">
            <w:pPr>
              <w:rPr>
                <w:rFonts w:ascii="宋体" w:hAnsi="宋体"/>
                <w:color w:val="auto"/>
                <w:szCs w:val="21"/>
              </w:rPr>
            </w:pPr>
          </w:p>
        </w:tc>
      </w:tr>
    </w:tbl>
    <w:p w14:paraId="20C677B9">
      <w:pPr>
        <w:spacing w:before="156" w:beforeLines="50" w:after="62" w:afterLines="20"/>
        <w:rPr>
          <w:b/>
          <w:color w:val="auto"/>
          <w:sz w:val="24"/>
          <w:szCs w:val="24"/>
        </w:rPr>
      </w:pPr>
    </w:p>
    <w:p w14:paraId="4AC32EDE">
      <w:pPr>
        <w:spacing w:line="360" w:lineRule="auto"/>
        <w:rPr>
          <w:b/>
          <w:color w:val="auto"/>
          <w:sz w:val="24"/>
          <w:szCs w:val="24"/>
        </w:rPr>
      </w:pPr>
      <w:r>
        <w:rPr>
          <w:color w:val="auto"/>
        </w:rPr>
        <w:br w:type="page"/>
      </w:r>
      <w:r>
        <w:rPr>
          <w:rFonts w:hint="eastAsia"/>
          <w:b/>
          <w:color w:val="auto"/>
          <w:sz w:val="24"/>
          <w:szCs w:val="24"/>
        </w:rPr>
        <w:t>二、报价信封</w:t>
      </w:r>
    </w:p>
    <w:tbl>
      <w:tblPr>
        <w:tblStyle w:val="3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5917"/>
        <w:gridCol w:w="1527"/>
        <w:gridCol w:w="949"/>
      </w:tblGrid>
      <w:tr w14:paraId="0B22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97" w:type="dxa"/>
            <w:vAlign w:val="center"/>
          </w:tcPr>
          <w:p w14:paraId="01525AE5">
            <w:pPr>
              <w:rPr>
                <w:rFonts w:ascii="宋体" w:hAnsi="宋体" w:cs="宋体"/>
                <w:b/>
                <w:bCs/>
                <w:color w:val="auto"/>
                <w:szCs w:val="21"/>
              </w:rPr>
            </w:pPr>
            <w:r>
              <w:rPr>
                <w:rFonts w:hint="eastAsia" w:ascii="宋体" w:hAnsi="宋体" w:cs="宋体"/>
                <w:b/>
                <w:bCs/>
                <w:color w:val="auto"/>
                <w:szCs w:val="21"/>
              </w:rPr>
              <w:t>序号</w:t>
            </w:r>
          </w:p>
        </w:tc>
        <w:tc>
          <w:tcPr>
            <w:tcW w:w="5917" w:type="dxa"/>
            <w:vAlign w:val="center"/>
          </w:tcPr>
          <w:p w14:paraId="19F1B914">
            <w:pPr>
              <w:rPr>
                <w:rFonts w:ascii="宋体" w:hAnsi="宋体" w:cs="宋体"/>
                <w:b/>
                <w:bCs/>
                <w:color w:val="auto"/>
                <w:szCs w:val="21"/>
              </w:rPr>
            </w:pPr>
            <w:r>
              <w:rPr>
                <w:rFonts w:hint="eastAsia" w:ascii="宋体" w:hAnsi="宋体" w:cs="宋体"/>
                <w:b/>
                <w:bCs/>
                <w:color w:val="auto"/>
                <w:szCs w:val="21"/>
              </w:rPr>
              <w:t>文 件 名 称</w:t>
            </w:r>
          </w:p>
        </w:tc>
        <w:tc>
          <w:tcPr>
            <w:tcW w:w="1527" w:type="dxa"/>
            <w:vAlign w:val="center"/>
          </w:tcPr>
          <w:p w14:paraId="5DC19DBC">
            <w:pPr>
              <w:rPr>
                <w:rFonts w:ascii="宋体" w:hAnsi="宋体" w:cs="宋体"/>
                <w:b/>
                <w:bCs/>
                <w:color w:val="auto"/>
                <w:szCs w:val="21"/>
              </w:rPr>
            </w:pPr>
            <w:r>
              <w:rPr>
                <w:rFonts w:hint="eastAsia" w:ascii="宋体" w:hAnsi="宋体" w:cs="宋体"/>
                <w:b/>
                <w:bCs/>
                <w:color w:val="auto"/>
                <w:szCs w:val="21"/>
              </w:rPr>
              <w:t>是否提交</w:t>
            </w:r>
          </w:p>
        </w:tc>
        <w:tc>
          <w:tcPr>
            <w:tcW w:w="949" w:type="dxa"/>
            <w:vAlign w:val="center"/>
          </w:tcPr>
          <w:p w14:paraId="5E03F664">
            <w:pPr>
              <w:rPr>
                <w:rFonts w:ascii="宋体" w:hAnsi="宋体" w:cs="宋体"/>
                <w:b/>
                <w:bCs/>
                <w:color w:val="auto"/>
                <w:szCs w:val="21"/>
              </w:rPr>
            </w:pPr>
            <w:r>
              <w:rPr>
                <w:rFonts w:hint="eastAsia" w:ascii="宋体" w:hAnsi="宋体" w:cs="宋体"/>
                <w:b/>
                <w:bCs/>
                <w:color w:val="auto"/>
                <w:szCs w:val="21"/>
              </w:rPr>
              <w:t>备注</w:t>
            </w:r>
          </w:p>
        </w:tc>
      </w:tr>
      <w:tr w14:paraId="4910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97" w:type="dxa"/>
            <w:vAlign w:val="center"/>
          </w:tcPr>
          <w:p w14:paraId="6C6ED897">
            <w:pPr>
              <w:jc w:val="center"/>
              <w:rPr>
                <w:rFonts w:ascii="宋体" w:hAnsi="宋体"/>
                <w:color w:val="auto"/>
                <w:szCs w:val="21"/>
              </w:rPr>
            </w:pPr>
            <w:r>
              <w:rPr>
                <w:rFonts w:hint="eastAsia" w:ascii="宋体" w:hAnsi="宋体"/>
                <w:color w:val="auto"/>
                <w:szCs w:val="21"/>
              </w:rPr>
              <w:t>1</w:t>
            </w:r>
          </w:p>
        </w:tc>
        <w:tc>
          <w:tcPr>
            <w:tcW w:w="5917" w:type="dxa"/>
            <w:vAlign w:val="center"/>
          </w:tcPr>
          <w:p w14:paraId="207B34E4">
            <w:pPr>
              <w:rPr>
                <w:rFonts w:ascii="宋体" w:hAnsi="宋体"/>
                <w:color w:val="auto"/>
                <w:szCs w:val="21"/>
              </w:rPr>
            </w:pPr>
            <w:r>
              <w:rPr>
                <w:rFonts w:hint="eastAsia" w:ascii="宋体" w:hAnsi="宋体"/>
                <w:color w:val="auto"/>
                <w:szCs w:val="21"/>
              </w:rPr>
              <w:t>磋商函</w:t>
            </w:r>
          </w:p>
        </w:tc>
        <w:tc>
          <w:tcPr>
            <w:tcW w:w="1527" w:type="dxa"/>
            <w:vAlign w:val="center"/>
          </w:tcPr>
          <w:p w14:paraId="273A946C">
            <w:pPr>
              <w:rPr>
                <w:rFonts w:ascii="宋体" w:hAnsi="宋体"/>
                <w:color w:val="auto"/>
                <w:szCs w:val="21"/>
              </w:rPr>
            </w:pPr>
          </w:p>
        </w:tc>
        <w:tc>
          <w:tcPr>
            <w:tcW w:w="949" w:type="dxa"/>
            <w:vAlign w:val="center"/>
          </w:tcPr>
          <w:p w14:paraId="4BE7B3BC">
            <w:pPr>
              <w:rPr>
                <w:rFonts w:ascii="宋体" w:hAnsi="宋体"/>
                <w:color w:val="auto"/>
                <w:szCs w:val="21"/>
              </w:rPr>
            </w:pPr>
          </w:p>
        </w:tc>
      </w:tr>
      <w:tr w14:paraId="5742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97" w:type="dxa"/>
            <w:vAlign w:val="center"/>
          </w:tcPr>
          <w:p w14:paraId="1E134628">
            <w:pPr>
              <w:jc w:val="center"/>
              <w:rPr>
                <w:rFonts w:ascii="宋体" w:hAnsi="宋体"/>
                <w:color w:val="auto"/>
                <w:szCs w:val="21"/>
              </w:rPr>
            </w:pPr>
            <w:r>
              <w:rPr>
                <w:rFonts w:hint="eastAsia" w:ascii="宋体" w:hAnsi="宋体"/>
                <w:color w:val="auto"/>
                <w:szCs w:val="21"/>
              </w:rPr>
              <w:t>2</w:t>
            </w:r>
          </w:p>
        </w:tc>
        <w:tc>
          <w:tcPr>
            <w:tcW w:w="5917" w:type="dxa"/>
            <w:vAlign w:val="center"/>
          </w:tcPr>
          <w:p w14:paraId="5B3478FA">
            <w:pPr>
              <w:rPr>
                <w:rFonts w:ascii="宋体" w:hAnsi="宋体"/>
                <w:color w:val="auto"/>
                <w:szCs w:val="21"/>
              </w:rPr>
            </w:pPr>
            <w:r>
              <w:rPr>
                <w:rFonts w:hint="eastAsia" w:ascii="宋体" w:hAnsi="宋体"/>
                <w:color w:val="auto"/>
                <w:szCs w:val="21"/>
              </w:rPr>
              <w:t>首次报价一览表（与响应文件中的内容保持一致）</w:t>
            </w:r>
          </w:p>
        </w:tc>
        <w:tc>
          <w:tcPr>
            <w:tcW w:w="1527" w:type="dxa"/>
            <w:vAlign w:val="center"/>
          </w:tcPr>
          <w:p w14:paraId="4F3CBB37">
            <w:pPr>
              <w:rPr>
                <w:rFonts w:ascii="宋体" w:hAnsi="宋体"/>
                <w:color w:val="auto"/>
                <w:szCs w:val="21"/>
              </w:rPr>
            </w:pPr>
          </w:p>
        </w:tc>
        <w:tc>
          <w:tcPr>
            <w:tcW w:w="949" w:type="dxa"/>
            <w:vAlign w:val="center"/>
          </w:tcPr>
          <w:p w14:paraId="65964A06">
            <w:pPr>
              <w:rPr>
                <w:rFonts w:ascii="宋体" w:hAnsi="宋体"/>
                <w:color w:val="auto"/>
                <w:szCs w:val="21"/>
              </w:rPr>
            </w:pPr>
          </w:p>
        </w:tc>
      </w:tr>
      <w:tr w14:paraId="534B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97" w:type="dxa"/>
            <w:vAlign w:val="center"/>
          </w:tcPr>
          <w:p w14:paraId="754FDFE2">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5917" w:type="dxa"/>
            <w:vAlign w:val="center"/>
          </w:tcPr>
          <w:p w14:paraId="5FD93D7C">
            <w:pPr>
              <w:rPr>
                <w:rFonts w:ascii="宋体" w:hAnsi="宋体"/>
                <w:color w:val="auto"/>
                <w:szCs w:val="21"/>
              </w:rPr>
            </w:pPr>
            <w:r>
              <w:rPr>
                <w:rFonts w:hint="eastAsia" w:ascii="宋体" w:hAnsi="宋体"/>
                <w:color w:val="auto"/>
                <w:szCs w:val="21"/>
              </w:rPr>
              <w:t>法定代表人身份证明书及授权书</w:t>
            </w:r>
          </w:p>
        </w:tc>
        <w:tc>
          <w:tcPr>
            <w:tcW w:w="1527" w:type="dxa"/>
            <w:vAlign w:val="center"/>
          </w:tcPr>
          <w:p w14:paraId="6FA1BE9A">
            <w:pPr>
              <w:rPr>
                <w:rFonts w:ascii="宋体" w:hAnsi="宋体"/>
                <w:color w:val="auto"/>
                <w:szCs w:val="21"/>
              </w:rPr>
            </w:pPr>
          </w:p>
        </w:tc>
        <w:tc>
          <w:tcPr>
            <w:tcW w:w="949" w:type="dxa"/>
            <w:vAlign w:val="center"/>
          </w:tcPr>
          <w:p w14:paraId="66B14D3F">
            <w:pPr>
              <w:rPr>
                <w:rFonts w:ascii="宋体" w:hAnsi="宋体"/>
                <w:color w:val="auto"/>
                <w:szCs w:val="21"/>
              </w:rPr>
            </w:pPr>
          </w:p>
        </w:tc>
      </w:tr>
    </w:tbl>
    <w:p w14:paraId="29144528">
      <w:pPr>
        <w:pStyle w:val="18"/>
        <w:ind w:firstLine="381" w:firstLineChars="158"/>
        <w:jc w:val="center"/>
        <w:rPr>
          <w:rFonts w:ascii="Times New Roman" w:hAnsi="Times New Roman"/>
          <w:b/>
          <w:bCs/>
          <w:color w:val="auto"/>
          <w:sz w:val="24"/>
          <w:szCs w:val="32"/>
        </w:rPr>
      </w:pPr>
    </w:p>
    <w:p w14:paraId="73D9B84A">
      <w:pPr>
        <w:pStyle w:val="18"/>
        <w:ind w:firstLine="381" w:firstLineChars="158"/>
        <w:jc w:val="center"/>
        <w:rPr>
          <w:rFonts w:ascii="Times New Roman" w:hAnsi="Times New Roman"/>
          <w:b/>
          <w:bCs/>
          <w:color w:val="auto"/>
          <w:sz w:val="24"/>
          <w:szCs w:val="32"/>
        </w:rPr>
      </w:pPr>
      <w:r>
        <w:rPr>
          <w:rFonts w:hint="eastAsia" w:ascii="Times New Roman" w:hAnsi="Times New Roman"/>
          <w:b/>
          <w:bCs/>
          <w:color w:val="auto"/>
          <w:sz w:val="24"/>
          <w:szCs w:val="32"/>
        </w:rPr>
        <w:t>商务评审索引表</w:t>
      </w:r>
    </w:p>
    <w:p w14:paraId="5120D346">
      <w:pPr>
        <w:pStyle w:val="18"/>
        <w:rPr>
          <w:color w:val="auto"/>
          <w:sz w:val="18"/>
          <w:szCs w:val="21"/>
        </w:rPr>
      </w:pPr>
    </w:p>
    <w:tbl>
      <w:tblPr>
        <w:tblStyle w:val="36"/>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4253"/>
        <w:gridCol w:w="2268"/>
        <w:gridCol w:w="1583"/>
      </w:tblGrid>
      <w:tr w14:paraId="5DCE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30" w:type="dxa"/>
          </w:tcPr>
          <w:p w14:paraId="2A26A91A">
            <w:pPr>
              <w:jc w:val="center"/>
              <w:rPr>
                <w:rFonts w:ascii="宋体" w:hAnsi="宋体"/>
                <w:color w:val="auto"/>
                <w:szCs w:val="21"/>
              </w:rPr>
            </w:pPr>
            <w:r>
              <w:rPr>
                <w:rFonts w:hint="eastAsia" w:ascii="宋体" w:hAnsi="宋体"/>
                <w:color w:val="auto"/>
                <w:szCs w:val="21"/>
              </w:rPr>
              <w:t>序号</w:t>
            </w:r>
          </w:p>
        </w:tc>
        <w:tc>
          <w:tcPr>
            <w:tcW w:w="4253" w:type="dxa"/>
            <w:vAlign w:val="center"/>
          </w:tcPr>
          <w:p w14:paraId="115F4A2D">
            <w:pPr>
              <w:jc w:val="center"/>
              <w:rPr>
                <w:rFonts w:ascii="宋体" w:hAnsi="宋体"/>
                <w:color w:val="auto"/>
                <w:szCs w:val="21"/>
              </w:rPr>
            </w:pPr>
            <w:r>
              <w:rPr>
                <w:rFonts w:hint="eastAsia" w:ascii="宋体" w:hAnsi="宋体"/>
                <w:color w:val="auto"/>
                <w:szCs w:val="21"/>
              </w:rPr>
              <w:t>评审内容</w:t>
            </w:r>
          </w:p>
          <w:p w14:paraId="38BC3AF6">
            <w:pPr>
              <w:jc w:val="center"/>
              <w:rPr>
                <w:rFonts w:ascii="宋体" w:hAnsi="宋体"/>
                <w:color w:val="auto"/>
                <w:szCs w:val="21"/>
              </w:rPr>
            </w:pPr>
            <w:r>
              <w:rPr>
                <w:rFonts w:hint="eastAsia" w:ascii="宋体" w:hAnsi="宋体"/>
                <w:color w:val="auto"/>
                <w:szCs w:val="21"/>
              </w:rPr>
              <w:t>（注：此部分商务评审细则相应内容）</w:t>
            </w:r>
          </w:p>
        </w:tc>
        <w:tc>
          <w:tcPr>
            <w:tcW w:w="2268" w:type="dxa"/>
            <w:vAlign w:val="center"/>
          </w:tcPr>
          <w:p w14:paraId="63F0AA6B">
            <w:pPr>
              <w:jc w:val="center"/>
              <w:rPr>
                <w:rFonts w:ascii="宋体" w:hAnsi="宋体"/>
                <w:color w:val="auto"/>
                <w:szCs w:val="21"/>
              </w:rPr>
            </w:pPr>
            <w:r>
              <w:rPr>
                <w:rFonts w:hint="eastAsia" w:ascii="宋体" w:hAnsi="宋体"/>
                <w:color w:val="auto"/>
                <w:szCs w:val="21"/>
              </w:rPr>
              <w:t>投标响应情况</w:t>
            </w:r>
          </w:p>
        </w:tc>
        <w:tc>
          <w:tcPr>
            <w:tcW w:w="1583" w:type="dxa"/>
            <w:vAlign w:val="center"/>
          </w:tcPr>
          <w:p w14:paraId="0B7B3DD1">
            <w:pPr>
              <w:jc w:val="center"/>
              <w:rPr>
                <w:rFonts w:ascii="宋体" w:hAnsi="宋体"/>
                <w:color w:val="auto"/>
                <w:szCs w:val="21"/>
              </w:rPr>
            </w:pPr>
            <w:r>
              <w:rPr>
                <w:rFonts w:hint="eastAsia" w:ascii="宋体" w:hAnsi="宋体"/>
                <w:color w:val="auto"/>
                <w:szCs w:val="21"/>
              </w:rPr>
              <w:t>响应文件响应内容对应页码</w:t>
            </w:r>
          </w:p>
        </w:tc>
      </w:tr>
      <w:tr w14:paraId="4088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130" w:type="dxa"/>
            <w:vAlign w:val="center"/>
          </w:tcPr>
          <w:p w14:paraId="0C6533FD">
            <w:pPr>
              <w:jc w:val="center"/>
              <w:rPr>
                <w:rFonts w:ascii="宋体" w:hAnsi="宋体"/>
                <w:color w:val="auto"/>
                <w:szCs w:val="21"/>
              </w:rPr>
            </w:pPr>
            <w:r>
              <w:rPr>
                <w:rFonts w:hint="eastAsia" w:ascii="宋体" w:hAnsi="宋体"/>
                <w:color w:val="auto"/>
                <w:szCs w:val="21"/>
              </w:rPr>
              <w:t>1</w:t>
            </w:r>
          </w:p>
        </w:tc>
        <w:tc>
          <w:tcPr>
            <w:tcW w:w="4253" w:type="dxa"/>
            <w:vAlign w:val="center"/>
          </w:tcPr>
          <w:p w14:paraId="4B45040B">
            <w:pPr>
              <w:spacing w:line="360" w:lineRule="exact"/>
              <w:rPr>
                <w:rFonts w:ascii="宋体" w:hAnsi="宋体"/>
                <w:color w:val="auto"/>
                <w:szCs w:val="21"/>
              </w:rPr>
            </w:pPr>
          </w:p>
        </w:tc>
        <w:tc>
          <w:tcPr>
            <w:tcW w:w="2268" w:type="dxa"/>
            <w:vAlign w:val="center"/>
          </w:tcPr>
          <w:p w14:paraId="1844E821">
            <w:pPr>
              <w:rPr>
                <w:rFonts w:ascii="宋体" w:hAnsi="宋体"/>
                <w:color w:val="auto"/>
                <w:szCs w:val="21"/>
              </w:rPr>
            </w:pPr>
          </w:p>
        </w:tc>
        <w:tc>
          <w:tcPr>
            <w:tcW w:w="1583" w:type="dxa"/>
            <w:vAlign w:val="center"/>
          </w:tcPr>
          <w:p w14:paraId="31C1509C">
            <w:pPr>
              <w:jc w:val="center"/>
              <w:rPr>
                <w:rFonts w:ascii="宋体" w:hAnsi="宋体"/>
                <w:color w:val="auto"/>
                <w:szCs w:val="21"/>
              </w:rPr>
            </w:pPr>
          </w:p>
        </w:tc>
      </w:tr>
      <w:tr w14:paraId="4BEF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130" w:type="dxa"/>
            <w:vAlign w:val="center"/>
          </w:tcPr>
          <w:p w14:paraId="59697EDA">
            <w:pPr>
              <w:jc w:val="center"/>
              <w:rPr>
                <w:rFonts w:ascii="宋体" w:hAnsi="宋体"/>
                <w:color w:val="auto"/>
                <w:szCs w:val="21"/>
              </w:rPr>
            </w:pPr>
            <w:r>
              <w:rPr>
                <w:rFonts w:hint="eastAsia" w:ascii="宋体" w:hAnsi="宋体"/>
                <w:color w:val="auto"/>
                <w:szCs w:val="21"/>
              </w:rPr>
              <w:t>2</w:t>
            </w:r>
          </w:p>
        </w:tc>
        <w:tc>
          <w:tcPr>
            <w:tcW w:w="4253" w:type="dxa"/>
            <w:vAlign w:val="center"/>
          </w:tcPr>
          <w:p w14:paraId="515F1CE1">
            <w:pPr>
              <w:spacing w:line="360" w:lineRule="exact"/>
              <w:rPr>
                <w:rFonts w:ascii="宋体" w:hAnsi="宋体"/>
                <w:color w:val="auto"/>
                <w:szCs w:val="21"/>
              </w:rPr>
            </w:pPr>
          </w:p>
        </w:tc>
        <w:tc>
          <w:tcPr>
            <w:tcW w:w="2268" w:type="dxa"/>
            <w:vAlign w:val="center"/>
          </w:tcPr>
          <w:p w14:paraId="29AFC505">
            <w:pPr>
              <w:rPr>
                <w:rFonts w:ascii="宋体" w:hAnsi="宋体"/>
                <w:color w:val="auto"/>
                <w:szCs w:val="21"/>
              </w:rPr>
            </w:pPr>
          </w:p>
        </w:tc>
        <w:tc>
          <w:tcPr>
            <w:tcW w:w="1583" w:type="dxa"/>
            <w:vAlign w:val="center"/>
          </w:tcPr>
          <w:p w14:paraId="50C00E55">
            <w:pPr>
              <w:jc w:val="center"/>
              <w:rPr>
                <w:rFonts w:ascii="宋体" w:hAnsi="宋体"/>
                <w:color w:val="auto"/>
                <w:szCs w:val="21"/>
              </w:rPr>
            </w:pPr>
          </w:p>
        </w:tc>
      </w:tr>
      <w:tr w14:paraId="6651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30" w:type="dxa"/>
            <w:vAlign w:val="center"/>
          </w:tcPr>
          <w:p w14:paraId="15ADE99A">
            <w:pPr>
              <w:jc w:val="center"/>
              <w:rPr>
                <w:rFonts w:ascii="宋体" w:hAnsi="宋体"/>
                <w:color w:val="auto"/>
                <w:szCs w:val="21"/>
              </w:rPr>
            </w:pPr>
            <w:r>
              <w:rPr>
                <w:rFonts w:hint="eastAsia" w:ascii="宋体" w:hAnsi="宋体"/>
                <w:color w:val="auto"/>
                <w:szCs w:val="21"/>
              </w:rPr>
              <w:t>3</w:t>
            </w:r>
          </w:p>
        </w:tc>
        <w:tc>
          <w:tcPr>
            <w:tcW w:w="4253" w:type="dxa"/>
            <w:vAlign w:val="center"/>
          </w:tcPr>
          <w:p w14:paraId="2949253B">
            <w:pPr>
              <w:spacing w:line="360" w:lineRule="exact"/>
              <w:rPr>
                <w:rFonts w:ascii="宋体" w:hAnsi="宋体"/>
                <w:color w:val="auto"/>
                <w:szCs w:val="21"/>
              </w:rPr>
            </w:pPr>
          </w:p>
        </w:tc>
        <w:tc>
          <w:tcPr>
            <w:tcW w:w="2268" w:type="dxa"/>
            <w:vAlign w:val="center"/>
          </w:tcPr>
          <w:p w14:paraId="4691857B">
            <w:pPr>
              <w:rPr>
                <w:rFonts w:ascii="宋体" w:hAnsi="宋体"/>
                <w:color w:val="auto"/>
                <w:szCs w:val="21"/>
              </w:rPr>
            </w:pPr>
          </w:p>
        </w:tc>
        <w:tc>
          <w:tcPr>
            <w:tcW w:w="1583" w:type="dxa"/>
            <w:vAlign w:val="center"/>
          </w:tcPr>
          <w:p w14:paraId="743109E0">
            <w:pPr>
              <w:jc w:val="center"/>
              <w:rPr>
                <w:rFonts w:ascii="宋体" w:hAnsi="宋体"/>
                <w:color w:val="auto"/>
                <w:szCs w:val="21"/>
              </w:rPr>
            </w:pPr>
          </w:p>
        </w:tc>
      </w:tr>
      <w:tr w14:paraId="4F74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30" w:type="dxa"/>
            <w:vAlign w:val="center"/>
          </w:tcPr>
          <w:p w14:paraId="54992D22">
            <w:pPr>
              <w:jc w:val="center"/>
              <w:rPr>
                <w:rFonts w:ascii="宋体" w:hAnsi="宋体"/>
                <w:color w:val="auto"/>
                <w:szCs w:val="21"/>
              </w:rPr>
            </w:pPr>
            <w:r>
              <w:rPr>
                <w:rFonts w:hint="eastAsia" w:ascii="宋体" w:hAnsi="宋体"/>
                <w:color w:val="auto"/>
                <w:szCs w:val="21"/>
              </w:rPr>
              <w:t>4</w:t>
            </w:r>
          </w:p>
        </w:tc>
        <w:tc>
          <w:tcPr>
            <w:tcW w:w="4253" w:type="dxa"/>
            <w:vAlign w:val="center"/>
          </w:tcPr>
          <w:p w14:paraId="7CF18AB0">
            <w:pPr>
              <w:spacing w:line="360" w:lineRule="exact"/>
              <w:rPr>
                <w:rFonts w:ascii="宋体" w:hAnsi="宋体"/>
                <w:color w:val="auto"/>
                <w:szCs w:val="21"/>
              </w:rPr>
            </w:pPr>
          </w:p>
        </w:tc>
        <w:tc>
          <w:tcPr>
            <w:tcW w:w="2268" w:type="dxa"/>
            <w:vAlign w:val="center"/>
          </w:tcPr>
          <w:p w14:paraId="59887214">
            <w:pPr>
              <w:rPr>
                <w:rFonts w:ascii="宋体" w:hAnsi="宋体"/>
                <w:color w:val="auto"/>
                <w:szCs w:val="21"/>
              </w:rPr>
            </w:pPr>
          </w:p>
        </w:tc>
        <w:tc>
          <w:tcPr>
            <w:tcW w:w="1583" w:type="dxa"/>
            <w:vAlign w:val="center"/>
          </w:tcPr>
          <w:p w14:paraId="09FD6927">
            <w:pPr>
              <w:jc w:val="center"/>
              <w:rPr>
                <w:rFonts w:ascii="宋体" w:hAnsi="宋体"/>
                <w:color w:val="auto"/>
                <w:szCs w:val="21"/>
              </w:rPr>
            </w:pPr>
          </w:p>
        </w:tc>
      </w:tr>
      <w:tr w14:paraId="7730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130" w:type="dxa"/>
            <w:vAlign w:val="center"/>
          </w:tcPr>
          <w:p w14:paraId="61E43CCD">
            <w:pPr>
              <w:jc w:val="center"/>
              <w:rPr>
                <w:rFonts w:ascii="宋体" w:hAnsi="宋体"/>
                <w:color w:val="auto"/>
                <w:szCs w:val="21"/>
              </w:rPr>
            </w:pPr>
            <w:r>
              <w:rPr>
                <w:rFonts w:hint="eastAsia" w:ascii="宋体" w:hAnsi="宋体"/>
                <w:color w:val="auto"/>
                <w:szCs w:val="21"/>
              </w:rPr>
              <w:t>5</w:t>
            </w:r>
          </w:p>
        </w:tc>
        <w:tc>
          <w:tcPr>
            <w:tcW w:w="4253" w:type="dxa"/>
            <w:vAlign w:val="center"/>
          </w:tcPr>
          <w:p w14:paraId="3F3A3C51">
            <w:pPr>
              <w:spacing w:line="360" w:lineRule="exact"/>
              <w:rPr>
                <w:rFonts w:ascii="宋体" w:hAnsi="宋体"/>
                <w:color w:val="auto"/>
                <w:szCs w:val="21"/>
              </w:rPr>
            </w:pPr>
            <w:r>
              <w:rPr>
                <w:rFonts w:ascii="宋体" w:hAnsi="宋体"/>
                <w:color w:val="auto"/>
                <w:szCs w:val="21"/>
              </w:rPr>
              <w:t>……</w:t>
            </w:r>
          </w:p>
        </w:tc>
        <w:tc>
          <w:tcPr>
            <w:tcW w:w="2268" w:type="dxa"/>
            <w:vAlign w:val="center"/>
          </w:tcPr>
          <w:p w14:paraId="6104E915">
            <w:pPr>
              <w:rPr>
                <w:rFonts w:ascii="宋体" w:hAnsi="宋体"/>
                <w:color w:val="auto"/>
                <w:szCs w:val="21"/>
              </w:rPr>
            </w:pPr>
          </w:p>
        </w:tc>
        <w:tc>
          <w:tcPr>
            <w:tcW w:w="1583" w:type="dxa"/>
            <w:vAlign w:val="center"/>
          </w:tcPr>
          <w:p w14:paraId="69220C99">
            <w:pPr>
              <w:jc w:val="center"/>
              <w:rPr>
                <w:rFonts w:ascii="宋体" w:hAnsi="宋体"/>
                <w:color w:val="auto"/>
                <w:szCs w:val="21"/>
              </w:rPr>
            </w:pPr>
          </w:p>
        </w:tc>
      </w:tr>
    </w:tbl>
    <w:p w14:paraId="30C4F3DC">
      <w:pPr>
        <w:rPr>
          <w:rFonts w:ascii="宋体" w:cs="Tahoma"/>
          <w:color w:val="auto"/>
          <w:szCs w:val="24"/>
        </w:rPr>
      </w:pPr>
      <w:r>
        <w:rPr>
          <w:rFonts w:hint="eastAsia" w:ascii="宋体" w:cs="Tahoma"/>
          <w:color w:val="auto"/>
          <w:szCs w:val="24"/>
        </w:rPr>
        <w:t>注：根据《商务评审表》内容编制。</w:t>
      </w:r>
    </w:p>
    <w:p w14:paraId="407DBE51">
      <w:pPr>
        <w:pStyle w:val="18"/>
        <w:ind w:firstLine="381" w:firstLineChars="158"/>
        <w:jc w:val="center"/>
        <w:rPr>
          <w:rFonts w:ascii="Times New Roman" w:hAnsi="Times New Roman"/>
          <w:b/>
          <w:bCs/>
          <w:color w:val="auto"/>
          <w:sz w:val="24"/>
          <w:szCs w:val="32"/>
        </w:rPr>
      </w:pPr>
      <w:r>
        <w:rPr>
          <w:rFonts w:hint="eastAsia" w:ascii="Times New Roman" w:hAnsi="Times New Roman"/>
          <w:b/>
          <w:bCs/>
          <w:color w:val="auto"/>
          <w:sz w:val="24"/>
          <w:szCs w:val="32"/>
        </w:rPr>
        <w:t>技术评审索引表</w:t>
      </w:r>
    </w:p>
    <w:p w14:paraId="0B5AD2DE">
      <w:pPr>
        <w:pStyle w:val="18"/>
        <w:rPr>
          <w:color w:val="auto"/>
          <w:sz w:val="18"/>
          <w:szCs w:val="21"/>
        </w:rPr>
      </w:pPr>
    </w:p>
    <w:tbl>
      <w:tblPr>
        <w:tblStyle w:val="36"/>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4253"/>
        <w:gridCol w:w="2268"/>
        <w:gridCol w:w="1583"/>
      </w:tblGrid>
      <w:tr w14:paraId="648F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946" w:type="dxa"/>
          </w:tcPr>
          <w:p w14:paraId="06754740">
            <w:pPr>
              <w:jc w:val="center"/>
              <w:rPr>
                <w:rFonts w:ascii="宋体" w:hAnsi="宋体"/>
                <w:color w:val="auto"/>
                <w:szCs w:val="21"/>
              </w:rPr>
            </w:pPr>
            <w:r>
              <w:rPr>
                <w:rFonts w:hint="eastAsia" w:ascii="宋体" w:hAnsi="宋体"/>
                <w:color w:val="auto"/>
                <w:szCs w:val="21"/>
              </w:rPr>
              <w:t>序号</w:t>
            </w:r>
          </w:p>
        </w:tc>
        <w:tc>
          <w:tcPr>
            <w:tcW w:w="4253" w:type="dxa"/>
            <w:vAlign w:val="center"/>
          </w:tcPr>
          <w:p w14:paraId="50B999E9">
            <w:pPr>
              <w:jc w:val="center"/>
              <w:rPr>
                <w:rFonts w:ascii="宋体" w:hAnsi="宋体"/>
                <w:color w:val="auto"/>
                <w:szCs w:val="21"/>
              </w:rPr>
            </w:pPr>
            <w:r>
              <w:rPr>
                <w:rFonts w:hint="eastAsia" w:ascii="宋体" w:hAnsi="宋体"/>
                <w:color w:val="auto"/>
                <w:szCs w:val="21"/>
              </w:rPr>
              <w:t>评审内容</w:t>
            </w:r>
          </w:p>
          <w:p w14:paraId="28EC1FC4">
            <w:pPr>
              <w:jc w:val="center"/>
              <w:rPr>
                <w:rFonts w:ascii="宋体" w:hAnsi="宋体"/>
                <w:color w:val="auto"/>
                <w:szCs w:val="21"/>
              </w:rPr>
            </w:pPr>
            <w:r>
              <w:rPr>
                <w:rFonts w:hint="eastAsia" w:ascii="宋体" w:hAnsi="宋体"/>
                <w:color w:val="auto"/>
                <w:szCs w:val="21"/>
              </w:rPr>
              <w:t>（注：此部分技术评审细则相应内容）</w:t>
            </w:r>
          </w:p>
        </w:tc>
        <w:tc>
          <w:tcPr>
            <w:tcW w:w="2268" w:type="dxa"/>
            <w:vAlign w:val="center"/>
          </w:tcPr>
          <w:p w14:paraId="471A3B20">
            <w:pPr>
              <w:jc w:val="center"/>
              <w:rPr>
                <w:rFonts w:ascii="宋体" w:hAnsi="宋体"/>
                <w:color w:val="auto"/>
                <w:szCs w:val="21"/>
              </w:rPr>
            </w:pPr>
            <w:r>
              <w:rPr>
                <w:rFonts w:hint="eastAsia" w:ascii="宋体" w:hAnsi="宋体"/>
                <w:color w:val="auto"/>
                <w:szCs w:val="21"/>
              </w:rPr>
              <w:t>投标响应情况</w:t>
            </w:r>
          </w:p>
        </w:tc>
        <w:tc>
          <w:tcPr>
            <w:tcW w:w="1583" w:type="dxa"/>
            <w:vAlign w:val="center"/>
          </w:tcPr>
          <w:p w14:paraId="66621BBA">
            <w:pPr>
              <w:jc w:val="center"/>
              <w:rPr>
                <w:rFonts w:ascii="宋体" w:hAnsi="宋体"/>
                <w:color w:val="auto"/>
                <w:szCs w:val="21"/>
              </w:rPr>
            </w:pPr>
            <w:r>
              <w:rPr>
                <w:rFonts w:hint="eastAsia" w:ascii="宋体" w:hAnsi="宋体"/>
                <w:color w:val="auto"/>
                <w:szCs w:val="21"/>
              </w:rPr>
              <w:t>响应文件响应内容对应页码</w:t>
            </w:r>
          </w:p>
        </w:tc>
      </w:tr>
      <w:tr w14:paraId="665D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946" w:type="dxa"/>
            <w:vAlign w:val="center"/>
          </w:tcPr>
          <w:p w14:paraId="254C308E">
            <w:pPr>
              <w:jc w:val="center"/>
              <w:rPr>
                <w:rFonts w:ascii="宋体" w:hAnsi="宋体"/>
                <w:color w:val="auto"/>
                <w:szCs w:val="21"/>
              </w:rPr>
            </w:pPr>
            <w:r>
              <w:rPr>
                <w:rFonts w:hint="eastAsia" w:ascii="宋体" w:hAnsi="宋体"/>
                <w:color w:val="auto"/>
                <w:szCs w:val="21"/>
              </w:rPr>
              <w:t>1</w:t>
            </w:r>
          </w:p>
        </w:tc>
        <w:tc>
          <w:tcPr>
            <w:tcW w:w="4253" w:type="dxa"/>
            <w:vAlign w:val="center"/>
          </w:tcPr>
          <w:p w14:paraId="32965378">
            <w:pPr>
              <w:spacing w:line="360" w:lineRule="exact"/>
              <w:rPr>
                <w:rFonts w:ascii="宋体" w:hAnsi="宋体"/>
                <w:color w:val="auto"/>
                <w:szCs w:val="21"/>
              </w:rPr>
            </w:pPr>
          </w:p>
        </w:tc>
        <w:tc>
          <w:tcPr>
            <w:tcW w:w="2268" w:type="dxa"/>
            <w:vAlign w:val="center"/>
          </w:tcPr>
          <w:p w14:paraId="17F2B3CE">
            <w:pPr>
              <w:rPr>
                <w:rFonts w:ascii="宋体" w:hAnsi="宋体"/>
                <w:color w:val="auto"/>
                <w:szCs w:val="21"/>
              </w:rPr>
            </w:pPr>
          </w:p>
        </w:tc>
        <w:tc>
          <w:tcPr>
            <w:tcW w:w="1583" w:type="dxa"/>
            <w:vAlign w:val="center"/>
          </w:tcPr>
          <w:p w14:paraId="1F0FBA0A">
            <w:pPr>
              <w:jc w:val="center"/>
              <w:rPr>
                <w:rFonts w:ascii="宋体" w:hAnsi="宋体"/>
                <w:color w:val="auto"/>
                <w:szCs w:val="21"/>
              </w:rPr>
            </w:pPr>
          </w:p>
        </w:tc>
      </w:tr>
      <w:tr w14:paraId="0B49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946" w:type="dxa"/>
            <w:vAlign w:val="center"/>
          </w:tcPr>
          <w:p w14:paraId="26E96E33">
            <w:pPr>
              <w:jc w:val="center"/>
              <w:rPr>
                <w:rFonts w:ascii="宋体" w:hAnsi="宋体"/>
                <w:color w:val="auto"/>
                <w:szCs w:val="21"/>
              </w:rPr>
            </w:pPr>
            <w:r>
              <w:rPr>
                <w:rFonts w:hint="eastAsia" w:ascii="宋体" w:hAnsi="宋体"/>
                <w:color w:val="auto"/>
                <w:szCs w:val="21"/>
              </w:rPr>
              <w:t>2</w:t>
            </w:r>
          </w:p>
        </w:tc>
        <w:tc>
          <w:tcPr>
            <w:tcW w:w="4253" w:type="dxa"/>
            <w:vAlign w:val="center"/>
          </w:tcPr>
          <w:p w14:paraId="42E56644">
            <w:pPr>
              <w:spacing w:line="360" w:lineRule="exact"/>
              <w:rPr>
                <w:rFonts w:ascii="宋体" w:hAnsi="宋体"/>
                <w:color w:val="auto"/>
                <w:szCs w:val="21"/>
              </w:rPr>
            </w:pPr>
          </w:p>
        </w:tc>
        <w:tc>
          <w:tcPr>
            <w:tcW w:w="2268" w:type="dxa"/>
            <w:vAlign w:val="center"/>
          </w:tcPr>
          <w:p w14:paraId="549DD6B7">
            <w:pPr>
              <w:rPr>
                <w:rFonts w:ascii="宋体" w:hAnsi="宋体"/>
                <w:color w:val="auto"/>
                <w:szCs w:val="21"/>
              </w:rPr>
            </w:pPr>
          </w:p>
        </w:tc>
        <w:tc>
          <w:tcPr>
            <w:tcW w:w="1583" w:type="dxa"/>
            <w:vAlign w:val="center"/>
          </w:tcPr>
          <w:p w14:paraId="15E5F8F1">
            <w:pPr>
              <w:jc w:val="center"/>
              <w:rPr>
                <w:rFonts w:ascii="宋体" w:hAnsi="宋体"/>
                <w:color w:val="auto"/>
                <w:szCs w:val="21"/>
              </w:rPr>
            </w:pPr>
          </w:p>
        </w:tc>
      </w:tr>
      <w:tr w14:paraId="00D3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946" w:type="dxa"/>
            <w:vAlign w:val="center"/>
          </w:tcPr>
          <w:p w14:paraId="1D95BE37">
            <w:pPr>
              <w:jc w:val="center"/>
              <w:rPr>
                <w:rFonts w:ascii="宋体" w:hAnsi="宋体"/>
                <w:color w:val="auto"/>
                <w:szCs w:val="21"/>
              </w:rPr>
            </w:pPr>
            <w:r>
              <w:rPr>
                <w:rFonts w:hint="eastAsia" w:ascii="宋体" w:hAnsi="宋体"/>
                <w:color w:val="auto"/>
                <w:szCs w:val="21"/>
              </w:rPr>
              <w:t>3</w:t>
            </w:r>
          </w:p>
        </w:tc>
        <w:tc>
          <w:tcPr>
            <w:tcW w:w="4253" w:type="dxa"/>
            <w:vAlign w:val="center"/>
          </w:tcPr>
          <w:p w14:paraId="1B136600">
            <w:pPr>
              <w:spacing w:line="360" w:lineRule="exact"/>
              <w:rPr>
                <w:rFonts w:ascii="宋体" w:hAnsi="宋体"/>
                <w:color w:val="auto"/>
                <w:szCs w:val="21"/>
              </w:rPr>
            </w:pPr>
          </w:p>
        </w:tc>
        <w:tc>
          <w:tcPr>
            <w:tcW w:w="2268" w:type="dxa"/>
            <w:vAlign w:val="center"/>
          </w:tcPr>
          <w:p w14:paraId="60484F61">
            <w:pPr>
              <w:rPr>
                <w:rFonts w:ascii="宋体" w:hAnsi="宋体"/>
                <w:color w:val="auto"/>
                <w:szCs w:val="21"/>
              </w:rPr>
            </w:pPr>
          </w:p>
        </w:tc>
        <w:tc>
          <w:tcPr>
            <w:tcW w:w="1583" w:type="dxa"/>
            <w:vAlign w:val="center"/>
          </w:tcPr>
          <w:p w14:paraId="0FC1A2F8">
            <w:pPr>
              <w:jc w:val="center"/>
              <w:rPr>
                <w:rFonts w:ascii="宋体" w:hAnsi="宋体"/>
                <w:color w:val="auto"/>
                <w:szCs w:val="21"/>
              </w:rPr>
            </w:pPr>
          </w:p>
        </w:tc>
      </w:tr>
      <w:tr w14:paraId="2100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946" w:type="dxa"/>
            <w:vAlign w:val="center"/>
          </w:tcPr>
          <w:p w14:paraId="21C0C6C7">
            <w:pPr>
              <w:jc w:val="center"/>
              <w:rPr>
                <w:rFonts w:ascii="宋体" w:hAnsi="宋体"/>
                <w:color w:val="auto"/>
                <w:szCs w:val="21"/>
              </w:rPr>
            </w:pPr>
            <w:r>
              <w:rPr>
                <w:rFonts w:hint="eastAsia" w:ascii="宋体" w:hAnsi="宋体"/>
                <w:color w:val="auto"/>
                <w:szCs w:val="21"/>
              </w:rPr>
              <w:t>4</w:t>
            </w:r>
          </w:p>
        </w:tc>
        <w:tc>
          <w:tcPr>
            <w:tcW w:w="4253" w:type="dxa"/>
            <w:vAlign w:val="center"/>
          </w:tcPr>
          <w:p w14:paraId="14BACCE4">
            <w:pPr>
              <w:spacing w:line="360" w:lineRule="exact"/>
              <w:rPr>
                <w:rFonts w:ascii="宋体" w:hAnsi="宋体"/>
                <w:color w:val="auto"/>
                <w:szCs w:val="21"/>
              </w:rPr>
            </w:pPr>
          </w:p>
        </w:tc>
        <w:tc>
          <w:tcPr>
            <w:tcW w:w="2268" w:type="dxa"/>
            <w:vAlign w:val="center"/>
          </w:tcPr>
          <w:p w14:paraId="14F93196">
            <w:pPr>
              <w:rPr>
                <w:rFonts w:ascii="宋体" w:hAnsi="宋体"/>
                <w:color w:val="auto"/>
                <w:szCs w:val="21"/>
              </w:rPr>
            </w:pPr>
          </w:p>
        </w:tc>
        <w:tc>
          <w:tcPr>
            <w:tcW w:w="1583" w:type="dxa"/>
            <w:vAlign w:val="center"/>
          </w:tcPr>
          <w:p w14:paraId="681C2279">
            <w:pPr>
              <w:jc w:val="center"/>
              <w:rPr>
                <w:rFonts w:ascii="宋体" w:hAnsi="宋体"/>
                <w:color w:val="auto"/>
                <w:szCs w:val="21"/>
              </w:rPr>
            </w:pPr>
          </w:p>
        </w:tc>
      </w:tr>
      <w:tr w14:paraId="61B6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946" w:type="dxa"/>
            <w:vAlign w:val="center"/>
          </w:tcPr>
          <w:p w14:paraId="036274B0">
            <w:pPr>
              <w:jc w:val="center"/>
              <w:rPr>
                <w:rFonts w:ascii="宋体" w:hAnsi="宋体"/>
                <w:color w:val="auto"/>
                <w:szCs w:val="21"/>
              </w:rPr>
            </w:pPr>
            <w:r>
              <w:rPr>
                <w:rFonts w:hint="eastAsia" w:ascii="宋体" w:hAnsi="宋体"/>
                <w:color w:val="auto"/>
                <w:szCs w:val="21"/>
              </w:rPr>
              <w:t>5</w:t>
            </w:r>
          </w:p>
        </w:tc>
        <w:tc>
          <w:tcPr>
            <w:tcW w:w="4253" w:type="dxa"/>
            <w:vAlign w:val="center"/>
          </w:tcPr>
          <w:p w14:paraId="42B67C26">
            <w:pPr>
              <w:spacing w:line="360" w:lineRule="exact"/>
              <w:rPr>
                <w:rFonts w:ascii="宋体" w:hAnsi="宋体"/>
                <w:color w:val="auto"/>
                <w:szCs w:val="21"/>
              </w:rPr>
            </w:pPr>
            <w:r>
              <w:rPr>
                <w:rFonts w:ascii="宋体" w:hAnsi="宋体"/>
                <w:color w:val="auto"/>
                <w:szCs w:val="21"/>
              </w:rPr>
              <w:t>……</w:t>
            </w:r>
          </w:p>
        </w:tc>
        <w:tc>
          <w:tcPr>
            <w:tcW w:w="2268" w:type="dxa"/>
            <w:vAlign w:val="center"/>
          </w:tcPr>
          <w:p w14:paraId="141288A0">
            <w:pPr>
              <w:rPr>
                <w:rFonts w:ascii="宋体" w:hAnsi="宋体"/>
                <w:color w:val="auto"/>
                <w:szCs w:val="21"/>
              </w:rPr>
            </w:pPr>
          </w:p>
        </w:tc>
        <w:tc>
          <w:tcPr>
            <w:tcW w:w="1583" w:type="dxa"/>
            <w:vAlign w:val="center"/>
          </w:tcPr>
          <w:p w14:paraId="5BCCF8CA">
            <w:pPr>
              <w:jc w:val="center"/>
              <w:rPr>
                <w:rFonts w:ascii="宋体" w:hAnsi="宋体"/>
                <w:color w:val="auto"/>
                <w:szCs w:val="21"/>
              </w:rPr>
            </w:pPr>
          </w:p>
        </w:tc>
      </w:tr>
    </w:tbl>
    <w:p w14:paraId="1F21345A">
      <w:pPr>
        <w:rPr>
          <w:rFonts w:ascii="宋体" w:hAnsi="Arial"/>
          <w:b/>
          <w:bCs/>
          <w:color w:val="auto"/>
          <w:sz w:val="32"/>
          <w:szCs w:val="32"/>
        </w:rPr>
      </w:pPr>
      <w:r>
        <w:rPr>
          <w:rFonts w:hint="eastAsia" w:ascii="宋体" w:cs="Tahoma"/>
          <w:color w:val="auto"/>
          <w:szCs w:val="24"/>
        </w:rPr>
        <w:t>注：根据《技术评审表》内容编制。</w:t>
      </w:r>
      <w:r>
        <w:rPr>
          <w:rFonts w:ascii="宋体" w:cs="Tahoma"/>
          <w:color w:val="auto"/>
          <w:szCs w:val="24"/>
        </w:rPr>
        <w:br w:type="page"/>
      </w:r>
      <w:r>
        <w:rPr>
          <w:rFonts w:hint="eastAsia" w:ascii="宋体" w:hAnsi="Arial"/>
          <w:b/>
          <w:bCs/>
          <w:color w:val="auto"/>
          <w:sz w:val="32"/>
          <w:szCs w:val="32"/>
        </w:rPr>
        <w:t>一、投标报价文件</w:t>
      </w:r>
    </w:p>
    <w:p w14:paraId="5A3E0610">
      <w:pPr>
        <w:pStyle w:val="3"/>
        <w:snapToGrid w:val="0"/>
        <w:rPr>
          <w:color w:val="auto"/>
          <w:sz w:val="32"/>
        </w:rPr>
      </w:pPr>
      <w:r>
        <w:rPr>
          <w:color w:val="auto"/>
        </w:rPr>
        <w:t>1</w:t>
      </w:r>
      <w:r>
        <w:rPr>
          <w:rFonts w:hint="eastAsia"/>
          <w:color w:val="auto"/>
        </w:rPr>
        <w:t>、格式</w:t>
      </w:r>
      <w:r>
        <w:rPr>
          <w:color w:val="auto"/>
        </w:rPr>
        <w:t xml:space="preserve">1                 </w:t>
      </w:r>
      <w:r>
        <w:rPr>
          <w:color w:val="auto"/>
          <w:szCs w:val="24"/>
        </w:rPr>
        <w:t xml:space="preserve">  </w:t>
      </w:r>
      <w:r>
        <w:rPr>
          <w:rFonts w:hint="eastAsia"/>
          <w:color w:val="auto"/>
          <w:sz w:val="32"/>
        </w:rPr>
        <w:t>磋 商</w:t>
      </w:r>
      <w:r>
        <w:rPr>
          <w:color w:val="auto"/>
          <w:sz w:val="32"/>
        </w:rPr>
        <w:t xml:space="preserve"> </w:t>
      </w:r>
      <w:r>
        <w:rPr>
          <w:rFonts w:hint="eastAsia"/>
          <w:color w:val="auto"/>
          <w:sz w:val="32"/>
        </w:rPr>
        <w:t>函</w:t>
      </w:r>
    </w:p>
    <w:p w14:paraId="4413FBF3">
      <w:pPr>
        <w:spacing w:line="360" w:lineRule="auto"/>
        <w:rPr>
          <w:rFonts w:ascii="宋体"/>
          <w:b/>
          <w:color w:val="auto"/>
          <w:sz w:val="24"/>
          <w:szCs w:val="24"/>
        </w:rPr>
      </w:pPr>
      <w:r>
        <w:rPr>
          <w:rFonts w:hint="eastAsia" w:ascii="宋体" w:hAnsi="宋体"/>
          <w:b/>
          <w:color w:val="auto"/>
          <w:sz w:val="24"/>
          <w:szCs w:val="24"/>
          <w:lang w:eastAsia="zh-CN"/>
        </w:rPr>
        <w:t>广州群生招标代理有限公司韶关分公司</w:t>
      </w:r>
      <w:r>
        <w:rPr>
          <w:rFonts w:hint="eastAsia" w:ascii="宋体" w:hAnsi="宋体"/>
          <w:b/>
          <w:color w:val="auto"/>
          <w:sz w:val="24"/>
          <w:szCs w:val="24"/>
        </w:rPr>
        <w:t>：</w:t>
      </w:r>
    </w:p>
    <w:p w14:paraId="1B96FAD6">
      <w:pPr>
        <w:spacing w:line="360" w:lineRule="auto"/>
        <w:ind w:firstLine="480"/>
        <w:rPr>
          <w:rFonts w:ascii="宋体"/>
          <w:color w:val="auto"/>
          <w:sz w:val="24"/>
          <w:szCs w:val="24"/>
        </w:rPr>
      </w:pPr>
      <w:r>
        <w:rPr>
          <w:rFonts w:hint="eastAsia" w:ascii="宋体" w:hAnsi="宋体"/>
          <w:color w:val="auto"/>
          <w:sz w:val="24"/>
          <w:szCs w:val="24"/>
        </w:rPr>
        <w:t>我方确认收到你方提供的</w:t>
      </w:r>
      <w:r>
        <w:rPr>
          <w:rFonts w:ascii="宋体" w:hAnsi="宋体"/>
          <w:color w:val="auto"/>
          <w:sz w:val="24"/>
          <w:szCs w:val="24"/>
          <w:u w:val="single"/>
        </w:rPr>
        <w:t xml:space="preserve">         </w:t>
      </w:r>
      <w:r>
        <w:rPr>
          <w:rFonts w:hint="eastAsia" w:ascii="宋体" w:hAnsi="宋体"/>
          <w:color w:val="auto"/>
          <w:sz w:val="24"/>
          <w:szCs w:val="24"/>
          <w:u w:val="single"/>
        </w:rPr>
        <w:t>项目</w:t>
      </w:r>
      <w:r>
        <w:rPr>
          <w:rFonts w:hint="eastAsia" w:ascii="宋体" w:hAnsi="宋体"/>
          <w:color w:val="auto"/>
          <w:sz w:val="24"/>
          <w:szCs w:val="24"/>
        </w:rPr>
        <w:t>及其相关项目的磋商文件的全部内容。我方：</w:t>
      </w:r>
      <w:r>
        <w:rPr>
          <w:rFonts w:hint="eastAsia" w:ascii="宋体" w:hAnsi="宋体"/>
          <w:color w:val="auto"/>
          <w:sz w:val="24"/>
          <w:szCs w:val="24"/>
          <w:u w:val="single"/>
        </w:rPr>
        <w:t>（响应供应商名称）</w:t>
      </w:r>
      <w:r>
        <w:rPr>
          <w:rFonts w:hint="eastAsia" w:ascii="宋体" w:hAnsi="宋体"/>
          <w:color w:val="auto"/>
          <w:sz w:val="24"/>
          <w:szCs w:val="24"/>
        </w:rPr>
        <w:t>作为响应供应商正式授权</w:t>
      </w:r>
      <w:r>
        <w:rPr>
          <w:rFonts w:hint="eastAsia" w:ascii="宋体" w:hAnsi="宋体"/>
          <w:color w:val="auto"/>
          <w:sz w:val="24"/>
          <w:szCs w:val="24"/>
          <w:u w:val="single"/>
        </w:rPr>
        <w:t>（授权代表全名、职务）</w:t>
      </w:r>
      <w:r>
        <w:rPr>
          <w:rFonts w:hint="eastAsia" w:ascii="宋体" w:hAnsi="宋体"/>
          <w:color w:val="auto"/>
          <w:sz w:val="24"/>
          <w:szCs w:val="24"/>
        </w:rPr>
        <w:t>代表我方进行有关响应的一切事宜。在此提交的响应文件，正本一份，副本两份。我方已完全明白磋商文件的所有条款要求，并重申以下几点：</w:t>
      </w:r>
    </w:p>
    <w:p w14:paraId="270DA688">
      <w:pPr>
        <w:spacing w:line="360" w:lineRule="auto"/>
        <w:rPr>
          <w:rFonts w:ascii="宋体"/>
          <w:color w:val="auto"/>
          <w:sz w:val="24"/>
          <w:szCs w:val="24"/>
        </w:rPr>
      </w:pPr>
      <w:r>
        <w:rPr>
          <w:rFonts w:ascii="宋体" w:hAnsi="宋体"/>
          <w:color w:val="auto"/>
          <w:sz w:val="24"/>
          <w:szCs w:val="24"/>
        </w:rPr>
        <w:t>1.</w:t>
      </w:r>
      <w:r>
        <w:rPr>
          <w:rFonts w:hint="eastAsia" w:ascii="宋体" w:hAnsi="宋体"/>
          <w:color w:val="auto"/>
          <w:sz w:val="24"/>
          <w:szCs w:val="24"/>
        </w:rPr>
        <w:t>我方决定参加：项目编号为</w:t>
      </w:r>
      <w:r>
        <w:rPr>
          <w:rFonts w:ascii="宋体" w:hAnsi="宋体"/>
          <w:color w:val="auto"/>
          <w:sz w:val="24"/>
          <w:szCs w:val="24"/>
          <w:u w:val="single"/>
        </w:rPr>
        <w:t xml:space="preserve">                </w:t>
      </w:r>
      <w:r>
        <w:rPr>
          <w:rFonts w:hint="eastAsia" w:ascii="宋体" w:hAnsi="宋体"/>
          <w:color w:val="auto"/>
          <w:sz w:val="24"/>
          <w:szCs w:val="24"/>
        </w:rPr>
        <w:t>的响应报价；</w:t>
      </w:r>
    </w:p>
    <w:p w14:paraId="756FE3A6">
      <w:pPr>
        <w:spacing w:line="360" w:lineRule="auto"/>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投标首次报价为</w:t>
      </w:r>
      <w:r>
        <w:rPr>
          <w:rFonts w:ascii="宋体" w:hAnsi="宋体"/>
          <w:color w:val="auto"/>
          <w:sz w:val="24"/>
          <w:szCs w:val="24"/>
          <w:u w:val="single"/>
        </w:rPr>
        <w:t xml:space="preserve">                </w:t>
      </w:r>
      <w:r>
        <w:rPr>
          <w:rFonts w:hint="eastAsia" w:ascii="宋体" w:hAnsi="宋体"/>
          <w:color w:val="auto"/>
          <w:sz w:val="24"/>
          <w:szCs w:val="24"/>
          <w:u w:val="single"/>
        </w:rPr>
        <w:t>元</w:t>
      </w:r>
      <w:r>
        <w:rPr>
          <w:rFonts w:hint="eastAsia" w:ascii="宋体" w:hAnsi="宋体"/>
          <w:color w:val="auto"/>
          <w:sz w:val="24"/>
          <w:szCs w:val="24"/>
        </w:rPr>
        <w:t>；</w:t>
      </w:r>
    </w:p>
    <w:p w14:paraId="1CEE814F">
      <w:pPr>
        <w:spacing w:line="360" w:lineRule="auto"/>
        <w:ind w:left="240" w:hanging="240"/>
        <w:rPr>
          <w:rFonts w:ascii="宋体"/>
          <w:color w:val="auto"/>
          <w:sz w:val="24"/>
          <w:szCs w:val="24"/>
        </w:rPr>
      </w:pPr>
      <w:r>
        <w:rPr>
          <w:rFonts w:ascii="宋体" w:hAnsi="宋体"/>
          <w:color w:val="auto"/>
          <w:sz w:val="24"/>
          <w:szCs w:val="24"/>
        </w:rPr>
        <w:t>3.</w:t>
      </w:r>
      <w:r>
        <w:rPr>
          <w:rFonts w:hint="eastAsia" w:ascii="宋体" w:hAnsi="宋体"/>
          <w:color w:val="auto"/>
          <w:sz w:val="24"/>
          <w:szCs w:val="24"/>
        </w:rPr>
        <w:t>本响应文件的有效期为响应截止日后</w:t>
      </w:r>
      <w:r>
        <w:rPr>
          <w:rFonts w:ascii="宋体" w:hAnsi="宋体"/>
          <w:color w:val="auto"/>
          <w:sz w:val="24"/>
          <w:szCs w:val="24"/>
          <w:u w:val="single"/>
        </w:rPr>
        <w:t>90</w:t>
      </w:r>
      <w:r>
        <w:rPr>
          <w:rFonts w:hint="eastAsia" w:ascii="宋体" w:hAnsi="宋体"/>
          <w:color w:val="auto"/>
          <w:sz w:val="24"/>
          <w:szCs w:val="24"/>
        </w:rPr>
        <w:t>天有效，如被确定为成交供应商，有效期将延至合同终止日为止；</w:t>
      </w:r>
    </w:p>
    <w:p w14:paraId="1D0A65AD">
      <w:pPr>
        <w:spacing w:line="360" w:lineRule="auto"/>
        <w:ind w:left="240" w:hanging="240"/>
        <w:rPr>
          <w:rFonts w:ascii="宋体"/>
          <w:color w:val="auto"/>
          <w:sz w:val="24"/>
          <w:szCs w:val="24"/>
        </w:rPr>
      </w:pPr>
      <w:r>
        <w:rPr>
          <w:rFonts w:ascii="宋体" w:hAnsi="宋体"/>
          <w:color w:val="auto"/>
          <w:sz w:val="24"/>
          <w:szCs w:val="24"/>
        </w:rPr>
        <w:t>4.</w:t>
      </w:r>
      <w:r>
        <w:rPr>
          <w:rFonts w:hint="eastAsia" w:ascii="宋体" w:hAnsi="宋体"/>
          <w:color w:val="auto"/>
          <w:sz w:val="24"/>
          <w:szCs w:val="24"/>
        </w:rPr>
        <w:t>我方已详细研究了磋商文件的所有内容包括修正（如果有）和所有已提供的参考资料以及有关格式并完全明白，我方放弃在此方面提出含糊意见或误解的一切权利；</w:t>
      </w:r>
    </w:p>
    <w:p w14:paraId="6748CD2B">
      <w:pPr>
        <w:spacing w:line="360" w:lineRule="auto"/>
        <w:rPr>
          <w:rFonts w:ascii="宋体"/>
          <w:color w:val="auto"/>
          <w:sz w:val="24"/>
          <w:szCs w:val="24"/>
        </w:rPr>
      </w:pPr>
      <w:r>
        <w:rPr>
          <w:rFonts w:ascii="宋体" w:hAnsi="宋体"/>
          <w:color w:val="auto"/>
          <w:sz w:val="24"/>
          <w:szCs w:val="24"/>
        </w:rPr>
        <w:t>5.</w:t>
      </w:r>
      <w:r>
        <w:rPr>
          <w:rFonts w:hint="eastAsia" w:ascii="宋体" w:hAnsi="宋体"/>
          <w:color w:val="auto"/>
          <w:sz w:val="24"/>
          <w:szCs w:val="24"/>
        </w:rPr>
        <w:t>我方同意按照你方可能提出的要求提供与响应有关的任何其它数据或信息；</w:t>
      </w:r>
    </w:p>
    <w:p w14:paraId="1FBA62DE">
      <w:pPr>
        <w:spacing w:line="360" w:lineRule="auto"/>
        <w:rPr>
          <w:rFonts w:ascii="宋体"/>
          <w:color w:val="auto"/>
          <w:sz w:val="24"/>
          <w:szCs w:val="24"/>
        </w:rPr>
      </w:pPr>
      <w:r>
        <w:rPr>
          <w:rFonts w:ascii="宋体" w:hAnsi="宋体"/>
          <w:color w:val="auto"/>
          <w:sz w:val="24"/>
          <w:szCs w:val="24"/>
        </w:rPr>
        <w:t>6.</w:t>
      </w:r>
      <w:r>
        <w:rPr>
          <w:rFonts w:hint="eastAsia" w:ascii="宋体" w:hAnsi="宋体"/>
          <w:color w:val="auto"/>
          <w:sz w:val="24"/>
          <w:szCs w:val="24"/>
        </w:rPr>
        <w:t>我方理解磋商小组不一定接受最低报价的报价；</w:t>
      </w:r>
    </w:p>
    <w:p w14:paraId="4563A1CB">
      <w:pPr>
        <w:spacing w:line="360" w:lineRule="auto"/>
        <w:ind w:left="240" w:hanging="240"/>
        <w:rPr>
          <w:rFonts w:ascii="宋体"/>
          <w:color w:val="auto"/>
          <w:sz w:val="24"/>
          <w:szCs w:val="24"/>
        </w:rPr>
      </w:pPr>
      <w:r>
        <w:rPr>
          <w:rFonts w:ascii="宋体" w:hAnsi="宋体"/>
          <w:color w:val="auto"/>
          <w:sz w:val="24"/>
          <w:szCs w:val="24"/>
        </w:rPr>
        <w:t>7.</w:t>
      </w:r>
      <w:r>
        <w:rPr>
          <w:rFonts w:hint="eastAsia" w:ascii="宋体" w:hAnsi="宋体"/>
          <w:color w:val="auto"/>
          <w:sz w:val="24"/>
          <w:szCs w:val="24"/>
        </w:rPr>
        <w:t>我方如被确定为成交供应商，将保证履行磋商文件以及磋商文件修改书（如有的话）中的全部责任和义务，按质、按量、按期完成《合同》中的全部任务；</w:t>
      </w:r>
    </w:p>
    <w:p w14:paraId="7F91AA7C">
      <w:pPr>
        <w:spacing w:line="360" w:lineRule="auto"/>
        <w:rPr>
          <w:rFonts w:ascii="宋体"/>
          <w:color w:val="auto"/>
          <w:sz w:val="24"/>
          <w:szCs w:val="24"/>
        </w:rPr>
      </w:pPr>
      <w:r>
        <w:rPr>
          <w:rFonts w:ascii="宋体" w:hAnsi="宋体"/>
          <w:color w:val="auto"/>
          <w:sz w:val="24"/>
          <w:szCs w:val="24"/>
        </w:rPr>
        <w:t>8.</w:t>
      </w:r>
      <w:r>
        <w:rPr>
          <w:rFonts w:hint="eastAsia" w:ascii="宋体" w:hAnsi="宋体"/>
          <w:color w:val="auto"/>
          <w:sz w:val="24"/>
          <w:szCs w:val="24"/>
        </w:rPr>
        <w:t>我方自行完全承担因响应文件错误、缺漏、不清晰而导致的一切后果；</w:t>
      </w:r>
    </w:p>
    <w:p w14:paraId="38820004">
      <w:pPr>
        <w:spacing w:line="360" w:lineRule="auto"/>
        <w:ind w:left="240" w:hanging="240"/>
        <w:rPr>
          <w:rFonts w:ascii="宋体"/>
          <w:color w:val="auto"/>
          <w:sz w:val="24"/>
          <w:szCs w:val="24"/>
        </w:rPr>
      </w:pPr>
      <w:r>
        <w:rPr>
          <w:rFonts w:ascii="宋体" w:hAnsi="宋体"/>
          <w:color w:val="auto"/>
          <w:sz w:val="24"/>
          <w:szCs w:val="24"/>
        </w:rPr>
        <w:t>9.</w:t>
      </w:r>
      <w:r>
        <w:rPr>
          <w:rFonts w:hint="eastAsia" w:ascii="宋体" w:hAnsi="宋体"/>
          <w:color w:val="auto"/>
          <w:sz w:val="24"/>
          <w:szCs w:val="24"/>
        </w:rPr>
        <w:t>我方确认此次磋商中提供的一切资料均是真实的，准确的，并完全承担因此产生的一切后果。</w:t>
      </w:r>
    </w:p>
    <w:p w14:paraId="279D11EC">
      <w:pPr>
        <w:spacing w:line="360" w:lineRule="auto"/>
        <w:rPr>
          <w:rFonts w:ascii="宋体"/>
          <w:color w:val="auto"/>
          <w:sz w:val="24"/>
          <w:szCs w:val="24"/>
        </w:rPr>
      </w:pPr>
      <w:r>
        <w:rPr>
          <w:rFonts w:ascii="宋体" w:hAnsi="宋体"/>
          <w:color w:val="auto"/>
          <w:sz w:val="24"/>
          <w:szCs w:val="24"/>
        </w:rPr>
        <w:t>10.</w:t>
      </w:r>
      <w:r>
        <w:rPr>
          <w:rFonts w:hint="eastAsia" w:ascii="宋体" w:hAnsi="宋体"/>
          <w:color w:val="auto"/>
          <w:sz w:val="24"/>
          <w:szCs w:val="24"/>
        </w:rPr>
        <w:t>我方的响应被接受，我方同意按照磋商文件规定向采购代理机构缴纳采购代理服务费。</w:t>
      </w:r>
    </w:p>
    <w:p w14:paraId="4D58B62B">
      <w:pPr>
        <w:spacing w:line="360" w:lineRule="auto"/>
        <w:rPr>
          <w:rFonts w:ascii="宋体"/>
          <w:color w:val="auto"/>
          <w:sz w:val="24"/>
          <w:szCs w:val="24"/>
        </w:rPr>
      </w:pPr>
      <w:r>
        <w:rPr>
          <w:rFonts w:hint="eastAsia" w:ascii="宋体" w:hAnsi="宋体"/>
          <w:color w:val="auto"/>
          <w:sz w:val="24"/>
          <w:szCs w:val="24"/>
        </w:rPr>
        <w:t>所有与本磋商文件有关的函件请发往下列地址：</w:t>
      </w:r>
    </w:p>
    <w:p w14:paraId="6F796742">
      <w:pPr>
        <w:spacing w:line="360" w:lineRule="auto"/>
        <w:ind w:firstLine="240" w:firstLineChars="100"/>
        <w:rPr>
          <w:rFonts w:ascii="宋体"/>
          <w:color w:val="auto"/>
          <w:sz w:val="24"/>
          <w:szCs w:val="24"/>
        </w:rPr>
      </w:pPr>
    </w:p>
    <w:p w14:paraId="536A20F1">
      <w:pPr>
        <w:spacing w:line="360" w:lineRule="auto"/>
        <w:rPr>
          <w:rFonts w:ascii="宋体"/>
          <w:color w:val="auto"/>
          <w:sz w:val="24"/>
          <w:szCs w:val="24"/>
          <w:u w:val="single"/>
        </w:rPr>
      </w:pPr>
      <w:r>
        <w:rPr>
          <w:rFonts w:hint="eastAsia" w:ascii="宋体" w:hAnsi="宋体"/>
          <w:color w:val="auto"/>
          <w:sz w:val="24"/>
          <w:szCs w:val="24"/>
        </w:rPr>
        <w:t>响应供应商全称（加盖公章）：</w:t>
      </w:r>
      <w:r>
        <w:rPr>
          <w:rFonts w:ascii="宋体" w:hAnsi="宋体"/>
          <w:color w:val="auto"/>
          <w:sz w:val="24"/>
          <w:szCs w:val="24"/>
          <w:u w:val="single"/>
        </w:rPr>
        <w:t xml:space="preserve">                                            </w:t>
      </w:r>
    </w:p>
    <w:p w14:paraId="59347BD0">
      <w:pPr>
        <w:spacing w:line="360" w:lineRule="auto"/>
        <w:rPr>
          <w:rFonts w:ascii="宋体"/>
          <w:color w:val="auto"/>
          <w:sz w:val="24"/>
          <w:szCs w:val="24"/>
        </w:rPr>
      </w:pPr>
      <w:r>
        <w:rPr>
          <w:rFonts w:hint="eastAsia" w:ascii="宋体" w:hAnsi="宋体"/>
          <w:color w:val="auto"/>
          <w:sz w:val="24"/>
          <w:szCs w:val="24"/>
        </w:rPr>
        <w:t>地址：</w:t>
      </w:r>
      <w:r>
        <w:rPr>
          <w:rFonts w:ascii="宋体" w:hAnsi="宋体"/>
          <w:color w:val="auto"/>
          <w:sz w:val="24"/>
          <w:szCs w:val="24"/>
          <w:u w:val="single"/>
        </w:rPr>
        <w:t xml:space="preserve">                             </w:t>
      </w:r>
      <w:r>
        <w:rPr>
          <w:rFonts w:ascii="宋体" w:hAnsi="宋体"/>
          <w:color w:val="auto"/>
          <w:sz w:val="24"/>
          <w:szCs w:val="24"/>
        </w:rPr>
        <w:t xml:space="preserve">   </w:t>
      </w:r>
      <w:r>
        <w:rPr>
          <w:rFonts w:hint="eastAsia" w:ascii="宋体" w:hAnsi="宋体"/>
          <w:color w:val="auto"/>
          <w:sz w:val="24"/>
          <w:szCs w:val="24"/>
        </w:rPr>
        <w:t>邮政编码：</w:t>
      </w:r>
      <w:r>
        <w:rPr>
          <w:rFonts w:ascii="宋体" w:hAnsi="宋体"/>
          <w:color w:val="auto"/>
          <w:sz w:val="24"/>
          <w:szCs w:val="24"/>
          <w:u w:val="single"/>
        </w:rPr>
        <w:t xml:space="preserve">                    </w:t>
      </w:r>
    </w:p>
    <w:p w14:paraId="64AB2C53">
      <w:pPr>
        <w:spacing w:line="360" w:lineRule="auto"/>
        <w:rPr>
          <w:rFonts w:ascii="宋体"/>
          <w:color w:val="auto"/>
          <w:sz w:val="24"/>
          <w:szCs w:val="24"/>
          <w:u w:val="single"/>
        </w:rPr>
      </w:pPr>
      <w:r>
        <w:rPr>
          <w:rFonts w:hint="eastAsia" w:ascii="宋体" w:hAnsi="宋体"/>
          <w:color w:val="auto"/>
          <w:sz w:val="24"/>
          <w:szCs w:val="24"/>
        </w:rPr>
        <w:t>法定代表或其授权代表（签字）：</w:t>
      </w:r>
      <w:r>
        <w:rPr>
          <w:rFonts w:ascii="宋体" w:hAnsi="宋体"/>
          <w:color w:val="auto"/>
          <w:sz w:val="24"/>
          <w:szCs w:val="24"/>
          <w:u w:val="single"/>
        </w:rPr>
        <w:t xml:space="preserve">                                       </w:t>
      </w:r>
    </w:p>
    <w:p w14:paraId="118387CD">
      <w:pPr>
        <w:spacing w:line="360" w:lineRule="auto"/>
        <w:rPr>
          <w:rFonts w:ascii="宋体"/>
          <w:color w:val="auto"/>
          <w:sz w:val="24"/>
          <w:szCs w:val="24"/>
        </w:rPr>
      </w:pPr>
      <w:r>
        <w:rPr>
          <w:rFonts w:hint="eastAsia" w:ascii="宋体" w:hAnsi="宋体"/>
          <w:color w:val="auto"/>
          <w:sz w:val="24"/>
          <w:szCs w:val="24"/>
        </w:rPr>
        <w:t>日</w:t>
      </w:r>
      <w:r>
        <w:rPr>
          <w:rFonts w:ascii="宋体" w:hAnsi="宋体"/>
          <w:color w:val="auto"/>
          <w:sz w:val="24"/>
          <w:szCs w:val="24"/>
        </w:rPr>
        <w:t xml:space="preserve">  </w:t>
      </w:r>
      <w:r>
        <w:rPr>
          <w:rFonts w:hint="eastAsia" w:ascii="宋体" w:hAnsi="宋体"/>
          <w:color w:val="auto"/>
          <w:sz w:val="24"/>
          <w:szCs w:val="24"/>
        </w:rPr>
        <w:t>期：</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w:t>
      </w:r>
    </w:p>
    <w:p w14:paraId="5C0DF181">
      <w:pPr>
        <w:rPr>
          <w:rFonts w:ascii="宋体" w:cs="Tahoma"/>
          <w:color w:val="auto"/>
        </w:rPr>
      </w:pPr>
    </w:p>
    <w:p w14:paraId="61DB21DD">
      <w:pPr>
        <w:pStyle w:val="5"/>
        <w:rPr>
          <w:color w:val="auto"/>
          <w:sz w:val="32"/>
          <w:szCs w:val="32"/>
        </w:rPr>
      </w:pPr>
      <w:r>
        <w:rPr>
          <w:color w:val="auto"/>
        </w:rPr>
        <w:t>2</w:t>
      </w:r>
      <w:r>
        <w:rPr>
          <w:rFonts w:hint="eastAsia"/>
          <w:color w:val="auto"/>
        </w:rPr>
        <w:t>、格式</w:t>
      </w:r>
      <w:r>
        <w:rPr>
          <w:color w:val="auto"/>
        </w:rPr>
        <w:t xml:space="preserve">2                 </w:t>
      </w:r>
      <w:r>
        <w:rPr>
          <w:color w:val="auto"/>
          <w:sz w:val="32"/>
          <w:szCs w:val="32"/>
        </w:rPr>
        <w:t xml:space="preserve"> </w:t>
      </w:r>
      <w:r>
        <w:rPr>
          <w:rFonts w:hint="eastAsia"/>
          <w:color w:val="auto"/>
          <w:sz w:val="32"/>
          <w:szCs w:val="32"/>
        </w:rPr>
        <w:t>首次报价一览表</w:t>
      </w:r>
    </w:p>
    <w:p w14:paraId="7A28CF0F">
      <w:pPr>
        <w:spacing w:line="360" w:lineRule="auto"/>
        <w:rPr>
          <w:rFonts w:ascii="宋体"/>
          <w:color w:val="auto"/>
          <w:sz w:val="24"/>
          <w:szCs w:val="24"/>
        </w:rPr>
      </w:pPr>
      <w:r>
        <w:rPr>
          <w:rFonts w:hint="eastAsia" w:ascii="宋体" w:hAnsi="宋体"/>
          <w:color w:val="auto"/>
          <w:sz w:val="24"/>
          <w:szCs w:val="24"/>
        </w:rPr>
        <w:t>项目名称：</w:t>
      </w:r>
    </w:p>
    <w:p w14:paraId="7E03CA28">
      <w:pPr>
        <w:spacing w:line="360" w:lineRule="auto"/>
        <w:rPr>
          <w:rFonts w:ascii="宋体"/>
          <w:color w:val="auto"/>
          <w:sz w:val="24"/>
          <w:szCs w:val="24"/>
        </w:rPr>
      </w:pPr>
      <w:r>
        <w:rPr>
          <w:rFonts w:hint="eastAsia" w:ascii="宋体" w:hAnsi="宋体"/>
          <w:color w:val="auto"/>
          <w:sz w:val="24"/>
          <w:szCs w:val="24"/>
        </w:rPr>
        <w:t>项目编号：</w:t>
      </w:r>
    </w:p>
    <w:tbl>
      <w:tblPr>
        <w:tblStyle w:val="36"/>
        <w:tblW w:w="98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2"/>
        <w:gridCol w:w="3443"/>
        <w:gridCol w:w="2869"/>
      </w:tblGrid>
      <w:tr w14:paraId="76EB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3502" w:type="dxa"/>
            <w:vAlign w:val="center"/>
          </w:tcPr>
          <w:p w14:paraId="223B8A1B">
            <w:pPr>
              <w:widowControl/>
              <w:snapToGrid w:val="0"/>
              <w:jc w:val="center"/>
              <w:rPr>
                <w:rFonts w:ascii="宋体"/>
                <w:color w:val="auto"/>
                <w:sz w:val="24"/>
                <w:szCs w:val="24"/>
              </w:rPr>
            </w:pPr>
            <w:r>
              <w:rPr>
                <w:rFonts w:hint="eastAsia" w:ascii="宋体" w:hAnsi="宋体"/>
                <w:color w:val="auto"/>
                <w:sz w:val="24"/>
                <w:szCs w:val="24"/>
              </w:rPr>
              <w:t>项目名称</w:t>
            </w:r>
          </w:p>
        </w:tc>
        <w:tc>
          <w:tcPr>
            <w:tcW w:w="3443" w:type="dxa"/>
            <w:vAlign w:val="center"/>
          </w:tcPr>
          <w:p w14:paraId="2EC2FA85">
            <w:pPr>
              <w:widowControl/>
              <w:snapToGrid w:val="0"/>
              <w:jc w:val="center"/>
              <w:rPr>
                <w:rFonts w:ascii="宋体"/>
                <w:color w:val="auto"/>
                <w:sz w:val="24"/>
                <w:szCs w:val="24"/>
              </w:rPr>
            </w:pPr>
            <w:r>
              <w:rPr>
                <w:rFonts w:hint="eastAsia" w:ascii="宋体" w:hAnsi="宋体"/>
                <w:color w:val="auto"/>
                <w:sz w:val="24"/>
                <w:szCs w:val="24"/>
              </w:rPr>
              <w:t>投标总价（元）</w:t>
            </w:r>
          </w:p>
        </w:tc>
        <w:tc>
          <w:tcPr>
            <w:tcW w:w="2869" w:type="dxa"/>
            <w:vAlign w:val="center"/>
          </w:tcPr>
          <w:p w14:paraId="216581D2">
            <w:pPr>
              <w:widowControl/>
              <w:snapToGrid w:val="0"/>
              <w:jc w:val="center"/>
              <w:rPr>
                <w:rFonts w:hint="eastAsia" w:ascii="宋体" w:eastAsia="宋体"/>
                <w:color w:val="auto"/>
                <w:lang w:eastAsia="zh-CN"/>
              </w:rPr>
            </w:pPr>
            <w:r>
              <w:rPr>
                <w:rFonts w:hint="eastAsia" w:ascii="宋体" w:hAnsi="宋体"/>
                <w:color w:val="auto"/>
                <w:sz w:val="24"/>
                <w:szCs w:val="24"/>
                <w:lang w:eastAsia="zh-CN"/>
              </w:rPr>
              <w:t>工期</w:t>
            </w:r>
          </w:p>
        </w:tc>
      </w:tr>
      <w:tr w14:paraId="3AA9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3502" w:type="dxa"/>
            <w:vAlign w:val="center"/>
          </w:tcPr>
          <w:p w14:paraId="4649CBCA">
            <w:pPr>
              <w:widowControl/>
              <w:snapToGrid w:val="0"/>
              <w:jc w:val="center"/>
              <w:rPr>
                <w:rFonts w:ascii="宋体"/>
                <w:color w:val="auto"/>
                <w:sz w:val="24"/>
                <w:szCs w:val="24"/>
              </w:rPr>
            </w:pPr>
            <w:r>
              <w:rPr>
                <w:rFonts w:hint="eastAsia" w:ascii="宋体"/>
                <w:color w:val="auto"/>
                <w:sz w:val="24"/>
                <w:szCs w:val="24"/>
                <w:lang w:eastAsia="zh-CN"/>
              </w:rPr>
              <w:t>广裕集团韶关北江实业有限责任公司收押中心（首层）改造车间项目</w:t>
            </w:r>
          </w:p>
        </w:tc>
        <w:tc>
          <w:tcPr>
            <w:tcW w:w="3443" w:type="dxa"/>
            <w:vAlign w:val="center"/>
          </w:tcPr>
          <w:p w14:paraId="2C0EC5F3">
            <w:pPr>
              <w:widowControl/>
              <w:snapToGrid w:val="0"/>
              <w:ind w:firstLine="240" w:firstLineChars="100"/>
              <w:rPr>
                <w:rFonts w:ascii="宋体"/>
                <w:color w:val="auto"/>
                <w:sz w:val="24"/>
                <w:szCs w:val="24"/>
                <w:u w:val="single"/>
              </w:rPr>
            </w:pPr>
            <w:r>
              <w:rPr>
                <w:rFonts w:hint="eastAsia" w:ascii="宋体" w:hAnsi="宋体"/>
                <w:color w:val="auto"/>
                <w:sz w:val="24"/>
                <w:szCs w:val="24"/>
              </w:rPr>
              <w:t>大写：</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14:paraId="2CCC4268">
            <w:pPr>
              <w:widowControl/>
              <w:snapToGrid w:val="0"/>
              <w:ind w:firstLine="240" w:firstLineChars="100"/>
              <w:rPr>
                <w:rFonts w:ascii="宋体"/>
                <w:color w:val="auto"/>
                <w:sz w:val="24"/>
                <w:szCs w:val="24"/>
              </w:rPr>
            </w:pPr>
            <w:r>
              <w:rPr>
                <w:rFonts w:hint="eastAsia" w:ascii="宋体" w:hAnsi="宋体"/>
                <w:color w:val="auto"/>
                <w:sz w:val="24"/>
                <w:szCs w:val="24"/>
              </w:rPr>
              <w:t>小写：</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p>
        </w:tc>
        <w:tc>
          <w:tcPr>
            <w:tcW w:w="2869" w:type="dxa"/>
            <w:vAlign w:val="center"/>
          </w:tcPr>
          <w:p w14:paraId="17040847">
            <w:pPr>
              <w:widowControl/>
              <w:snapToGrid w:val="0"/>
              <w:jc w:val="center"/>
              <w:rPr>
                <w:rFonts w:ascii="宋体"/>
                <w:snapToGrid w:val="0"/>
                <w:color w:val="auto"/>
                <w:szCs w:val="21"/>
              </w:rPr>
            </w:pPr>
          </w:p>
        </w:tc>
      </w:tr>
    </w:tbl>
    <w:p w14:paraId="29A4B3B8">
      <w:pPr>
        <w:pStyle w:val="20"/>
        <w:spacing w:line="360" w:lineRule="auto"/>
        <w:ind w:firstLine="480" w:firstLineChars="200"/>
        <w:rPr>
          <w:rFonts w:ascii="宋体"/>
          <w:color w:val="auto"/>
          <w:szCs w:val="24"/>
        </w:rPr>
      </w:pPr>
      <w:r>
        <w:rPr>
          <w:rFonts w:hint="eastAsia" w:ascii="宋体" w:hAnsi="宋体"/>
          <w:color w:val="auto"/>
          <w:szCs w:val="24"/>
        </w:rPr>
        <w:t>注：投标报价保留小数点后两位，大小写不一致时以大写金额为准。</w:t>
      </w:r>
    </w:p>
    <w:p w14:paraId="538A0778">
      <w:pPr>
        <w:pStyle w:val="20"/>
        <w:spacing w:line="360" w:lineRule="auto"/>
        <w:rPr>
          <w:rFonts w:ascii="宋体"/>
          <w:color w:val="auto"/>
          <w:szCs w:val="24"/>
        </w:rPr>
      </w:pPr>
      <w:r>
        <w:rPr>
          <w:rFonts w:hint="eastAsia" w:ascii="宋体" w:hAnsi="宋体"/>
          <w:color w:val="auto"/>
          <w:kern w:val="0"/>
          <w:szCs w:val="24"/>
        </w:rPr>
        <w:t>响应供应商全称（加盖公章）</w:t>
      </w:r>
      <w:r>
        <w:rPr>
          <w:rFonts w:hint="eastAsia" w:ascii="宋体" w:hAnsi="宋体"/>
          <w:color w:val="auto"/>
          <w:szCs w:val="24"/>
        </w:rPr>
        <w:t>：</w:t>
      </w:r>
    </w:p>
    <w:p w14:paraId="71BBF235">
      <w:pPr>
        <w:spacing w:line="360" w:lineRule="auto"/>
        <w:rPr>
          <w:rFonts w:ascii="宋体"/>
          <w:color w:val="auto"/>
          <w:sz w:val="24"/>
          <w:szCs w:val="24"/>
        </w:rPr>
      </w:pPr>
      <w:r>
        <w:rPr>
          <w:rFonts w:hint="eastAsia" w:ascii="宋体" w:hAnsi="宋体"/>
          <w:color w:val="auto"/>
          <w:sz w:val="24"/>
          <w:szCs w:val="24"/>
        </w:rPr>
        <w:t>法定代表或其授权代表（签字）：</w:t>
      </w:r>
    </w:p>
    <w:p w14:paraId="7D80C9C0">
      <w:pPr>
        <w:spacing w:line="360" w:lineRule="auto"/>
        <w:rPr>
          <w:rFonts w:ascii="宋体"/>
          <w:color w:val="auto"/>
          <w:sz w:val="24"/>
          <w:szCs w:val="24"/>
        </w:rPr>
      </w:pPr>
      <w:r>
        <w:rPr>
          <w:rFonts w:hint="eastAsia" w:ascii="宋体" w:hAnsi="宋体"/>
          <w:color w:val="auto"/>
          <w:sz w:val="24"/>
          <w:szCs w:val="24"/>
        </w:rPr>
        <w:t>日期：</w:t>
      </w:r>
      <w:r>
        <w:rPr>
          <w:rFonts w:hint="eastAsia" w:ascii="宋体" w:hAnsi="宋体"/>
          <w:color w:val="auto"/>
          <w:sz w:val="24"/>
          <w:szCs w:val="24"/>
          <w:lang w:val="en-US" w:eastAsia="zh-CN"/>
        </w:rPr>
        <w:t xml:space="preserve">   </w:t>
      </w:r>
      <w:r>
        <w:rPr>
          <w:rFonts w:hint="eastAsia" w:ascii="宋体" w:hAnsi="宋体"/>
          <w:color w:val="auto"/>
          <w:sz w:val="24"/>
          <w:szCs w:val="24"/>
        </w:rPr>
        <w:t>年</w:t>
      </w:r>
      <w:r>
        <w:rPr>
          <w:rFonts w:hint="eastAsia" w:ascii="宋体" w:hAnsi="宋体"/>
          <w:color w:val="auto"/>
          <w:sz w:val="24"/>
          <w:szCs w:val="24"/>
          <w:lang w:val="en-US" w:eastAsia="zh-CN"/>
        </w:rPr>
        <w:t xml:space="preserve">   </w:t>
      </w:r>
      <w:r>
        <w:rPr>
          <w:rFonts w:hint="eastAsia" w:ascii="宋体" w:hAnsi="宋体"/>
          <w:color w:val="auto"/>
          <w:sz w:val="24"/>
          <w:szCs w:val="24"/>
        </w:rPr>
        <w:t>月</w:t>
      </w:r>
      <w:r>
        <w:rPr>
          <w:rFonts w:hint="eastAsia" w:ascii="宋体" w:hAnsi="宋体"/>
          <w:color w:val="auto"/>
          <w:sz w:val="24"/>
          <w:szCs w:val="24"/>
          <w:lang w:val="en-US" w:eastAsia="zh-CN"/>
        </w:rPr>
        <w:t xml:space="preserve">   </w:t>
      </w:r>
      <w:r>
        <w:rPr>
          <w:rFonts w:hint="eastAsia" w:ascii="宋体" w:hAnsi="宋体"/>
          <w:color w:val="auto"/>
          <w:sz w:val="24"/>
          <w:szCs w:val="24"/>
        </w:rPr>
        <w:t>日</w:t>
      </w:r>
    </w:p>
    <w:p w14:paraId="10F42B5D">
      <w:pPr>
        <w:spacing w:line="360" w:lineRule="auto"/>
        <w:rPr>
          <w:rFonts w:ascii="宋体"/>
          <w:b/>
          <w:color w:val="auto"/>
          <w:sz w:val="24"/>
          <w:szCs w:val="24"/>
        </w:rPr>
      </w:pPr>
      <w:r>
        <w:rPr>
          <w:rFonts w:hint="eastAsia" w:ascii="宋体" w:hAnsi="宋体"/>
          <w:b/>
          <w:bCs/>
          <w:color w:val="auto"/>
          <w:sz w:val="24"/>
          <w:szCs w:val="24"/>
        </w:rPr>
        <w:t>注：</w:t>
      </w:r>
      <w:r>
        <w:rPr>
          <w:rFonts w:hint="eastAsia" w:ascii="宋体" w:hAnsi="宋体"/>
          <w:b/>
          <w:color w:val="auto"/>
          <w:sz w:val="24"/>
          <w:szCs w:val="24"/>
        </w:rPr>
        <w:t>此表一式两份，一份装订在响应文件中；一份装在单独的信封内密封，封口盖公章。</w:t>
      </w:r>
    </w:p>
    <w:p w14:paraId="0D805F7F">
      <w:pPr>
        <w:adjustRightInd w:val="0"/>
        <w:snapToGrid w:val="0"/>
        <w:spacing w:line="360" w:lineRule="auto"/>
        <w:rPr>
          <w:rFonts w:ascii="宋体" w:hAnsi="宋体" w:cs="宋体"/>
          <w:b/>
          <w:color w:val="auto"/>
          <w:sz w:val="28"/>
        </w:rPr>
      </w:pPr>
    </w:p>
    <w:p w14:paraId="1B0A7003">
      <w:pPr>
        <w:pStyle w:val="5"/>
        <w:tabs>
          <w:tab w:val="left" w:pos="864"/>
        </w:tabs>
        <w:rPr>
          <w:rFonts w:cs="宋体"/>
          <w:color w:val="auto"/>
        </w:rPr>
      </w:pPr>
      <w:bookmarkStart w:id="135" w:name="_Toc338083271"/>
      <w:r>
        <w:rPr>
          <w:rFonts w:cs="宋体"/>
          <w:color w:val="auto"/>
        </w:rPr>
        <w:t>3、</w:t>
      </w:r>
      <w:r>
        <w:rPr>
          <w:rFonts w:hint="eastAsia"/>
          <w:color w:val="auto"/>
        </w:rPr>
        <w:t>格式</w:t>
      </w:r>
      <w:r>
        <w:rPr>
          <w:rFonts w:hint="eastAsia"/>
          <w:color w:val="auto"/>
          <w:lang w:val="en-US" w:eastAsia="zh-CN"/>
        </w:rPr>
        <w:t>3</w:t>
      </w:r>
      <w:r>
        <w:rPr>
          <w:rFonts w:hint="eastAsia" w:cs="宋体"/>
          <w:color w:val="auto"/>
        </w:rPr>
        <w:t xml:space="preserve">                分项报价表</w:t>
      </w:r>
      <w:bookmarkEnd w:id="135"/>
      <w:r>
        <w:rPr>
          <w:rFonts w:hint="eastAsia" w:cs="宋体"/>
          <w:color w:val="auto"/>
        </w:rPr>
        <w:t>（格式自拟）</w:t>
      </w:r>
    </w:p>
    <w:p w14:paraId="5AEC1AF5">
      <w:pPr>
        <w:spacing w:line="360" w:lineRule="auto"/>
        <w:rPr>
          <w:rFonts w:ascii="宋体" w:hAnsi="宋体" w:cs="宋体"/>
          <w:color w:val="auto"/>
          <w:szCs w:val="21"/>
        </w:rPr>
      </w:pPr>
    </w:p>
    <w:p w14:paraId="752F13B6">
      <w:pPr>
        <w:pStyle w:val="121"/>
        <w:spacing w:line="360" w:lineRule="exact"/>
        <w:ind w:firstLine="422" w:firstLineChars="200"/>
        <w:rPr>
          <w:rFonts w:cs="宋体"/>
          <w:color w:val="auto"/>
        </w:rPr>
      </w:pPr>
      <w:r>
        <w:rPr>
          <w:rFonts w:hint="eastAsia" w:cs="宋体"/>
          <w:b/>
          <w:bCs/>
          <w:color w:val="auto"/>
          <w:kern w:val="2"/>
          <w:szCs w:val="21"/>
          <w:lang w:val="en-GB"/>
        </w:rPr>
        <w:t>（供应商按照采购人</w:t>
      </w:r>
      <w:r>
        <w:rPr>
          <w:rFonts w:hint="eastAsia" w:cs="宋体"/>
          <w:b/>
          <w:bCs/>
          <w:color w:val="auto"/>
          <w:kern w:val="2"/>
          <w:szCs w:val="21"/>
          <w:lang w:val="en-US" w:eastAsia="zh-CN"/>
        </w:rPr>
        <w:t>提供的工程量清单</w:t>
      </w:r>
      <w:r>
        <w:rPr>
          <w:rFonts w:hint="eastAsia" w:cs="宋体"/>
          <w:b/>
          <w:bCs/>
          <w:color w:val="auto"/>
          <w:kern w:val="2"/>
          <w:szCs w:val="21"/>
          <w:lang w:val="en-GB"/>
        </w:rPr>
        <w:t>进行报价）</w:t>
      </w:r>
      <w:r>
        <w:rPr>
          <w:rFonts w:hint="eastAsia" w:cs="宋体"/>
          <w:color w:val="auto"/>
        </w:rPr>
        <w:fldChar w:fldCharType="begin"/>
      </w:r>
      <w:r>
        <w:rPr>
          <w:rFonts w:hint="eastAsia" w:cs="宋体"/>
          <w:color w:val="auto"/>
        </w:rPr>
        <w:instrText xml:space="preserve"> DOCVARIABLE  采购编号  \* MERGEFORMAT </w:instrText>
      </w:r>
      <w:r>
        <w:rPr>
          <w:rFonts w:hint="eastAsia" w:cs="宋体"/>
          <w:color w:val="auto"/>
        </w:rPr>
        <w:fldChar w:fldCharType="end"/>
      </w:r>
    </w:p>
    <w:p w14:paraId="1C677420">
      <w:pPr>
        <w:spacing w:line="360" w:lineRule="auto"/>
        <w:rPr>
          <w:rFonts w:ascii="宋体" w:hAnsi="宋体" w:cs="宋体"/>
          <w:b/>
          <w:bCs/>
          <w:color w:val="auto"/>
          <w:sz w:val="18"/>
          <w:szCs w:val="21"/>
          <w:lang w:val="en-GB"/>
        </w:rPr>
      </w:pPr>
      <w:r>
        <w:rPr>
          <w:rFonts w:hint="eastAsia" w:ascii="宋体" w:hAnsi="宋体" w:cs="宋体"/>
          <w:b/>
          <w:bCs/>
          <w:color w:val="auto"/>
          <w:sz w:val="18"/>
          <w:szCs w:val="21"/>
        </w:rPr>
        <w:t>注</w:t>
      </w:r>
      <w:r>
        <w:rPr>
          <w:rFonts w:hint="eastAsia" w:ascii="宋体" w:hAnsi="宋体" w:cs="宋体"/>
          <w:b/>
          <w:bCs/>
          <w:color w:val="auto"/>
          <w:sz w:val="18"/>
          <w:szCs w:val="21"/>
          <w:lang w:val="en-GB"/>
        </w:rPr>
        <w:t>：以上内容必须与《</w:t>
      </w:r>
      <w:r>
        <w:rPr>
          <w:rFonts w:hint="eastAsia" w:ascii="宋体" w:hAnsi="宋体" w:cs="宋体"/>
          <w:b/>
          <w:bCs/>
          <w:color w:val="auto"/>
          <w:sz w:val="18"/>
          <w:szCs w:val="21"/>
        </w:rPr>
        <w:t>首次</w:t>
      </w:r>
      <w:r>
        <w:rPr>
          <w:rFonts w:hint="eastAsia" w:ascii="宋体" w:hAnsi="宋体" w:cs="宋体"/>
          <w:b/>
          <w:bCs/>
          <w:color w:val="auto"/>
          <w:sz w:val="18"/>
          <w:szCs w:val="21"/>
          <w:lang w:val="en-GB"/>
        </w:rPr>
        <w:t>报价一览表》一致。</w:t>
      </w:r>
    </w:p>
    <w:p w14:paraId="4F0CC794">
      <w:pPr>
        <w:spacing w:line="360" w:lineRule="auto"/>
        <w:rPr>
          <w:rFonts w:ascii="宋体" w:hAnsi="宋体" w:cs="宋体"/>
          <w:b/>
          <w:bCs/>
          <w:color w:val="auto"/>
          <w:sz w:val="18"/>
          <w:szCs w:val="21"/>
        </w:rPr>
      </w:pPr>
    </w:p>
    <w:p w14:paraId="78CFFEBD">
      <w:pPr>
        <w:pStyle w:val="20"/>
        <w:spacing w:line="360" w:lineRule="auto"/>
        <w:rPr>
          <w:rFonts w:ascii="宋体"/>
          <w:color w:val="auto"/>
          <w:szCs w:val="24"/>
        </w:rPr>
      </w:pPr>
      <w:r>
        <w:rPr>
          <w:rFonts w:hint="eastAsia" w:ascii="宋体" w:hAnsi="宋体"/>
          <w:color w:val="auto"/>
          <w:kern w:val="0"/>
          <w:szCs w:val="24"/>
        </w:rPr>
        <w:t>响应供应商全称（加盖公章）</w:t>
      </w:r>
      <w:r>
        <w:rPr>
          <w:rFonts w:hint="eastAsia" w:ascii="宋体" w:hAnsi="宋体"/>
          <w:color w:val="auto"/>
          <w:szCs w:val="24"/>
        </w:rPr>
        <w:t>：</w:t>
      </w:r>
    </w:p>
    <w:p w14:paraId="5EE28F45">
      <w:pPr>
        <w:spacing w:line="360" w:lineRule="auto"/>
        <w:rPr>
          <w:rFonts w:ascii="宋体"/>
          <w:color w:val="auto"/>
          <w:sz w:val="24"/>
          <w:szCs w:val="24"/>
        </w:rPr>
      </w:pPr>
      <w:r>
        <w:rPr>
          <w:rFonts w:hint="eastAsia" w:ascii="宋体" w:hAnsi="宋体"/>
          <w:color w:val="auto"/>
          <w:sz w:val="24"/>
          <w:szCs w:val="24"/>
        </w:rPr>
        <w:t>法定代表或其授权代表（签字）：</w:t>
      </w:r>
    </w:p>
    <w:p w14:paraId="69D66C67">
      <w:pPr>
        <w:jc w:val="left"/>
        <w:rPr>
          <w:rFonts w:ascii="宋体" w:hAnsi="宋体" w:cs="宋体"/>
          <w:b/>
          <w:color w:val="auto"/>
          <w:sz w:val="28"/>
        </w:rPr>
      </w:pPr>
      <w:r>
        <w:rPr>
          <w:rFonts w:hint="eastAsia" w:ascii="宋体" w:hAnsi="宋体"/>
          <w:color w:val="auto"/>
          <w:sz w:val="24"/>
          <w:szCs w:val="24"/>
        </w:rPr>
        <w:t>日期：  年  月  日</w:t>
      </w:r>
      <w:r>
        <w:rPr>
          <w:rFonts w:hint="eastAsia" w:ascii="宋体" w:hAnsi="宋体" w:cs="宋体"/>
          <w:b/>
          <w:color w:val="auto"/>
          <w:sz w:val="28"/>
        </w:rPr>
        <w:br w:type="page"/>
      </w:r>
    </w:p>
    <w:p w14:paraId="61301472">
      <w:pPr>
        <w:spacing w:line="480" w:lineRule="auto"/>
        <w:rPr>
          <w:rFonts w:ascii="黑体" w:hAnsi="宋体"/>
          <w:b/>
          <w:color w:val="auto"/>
          <w:sz w:val="30"/>
        </w:rPr>
      </w:pPr>
      <w:r>
        <w:rPr>
          <w:rFonts w:hint="eastAsia" w:ascii="黑体" w:hAnsi="宋体"/>
          <w:b/>
          <w:color w:val="auto"/>
          <w:sz w:val="30"/>
        </w:rPr>
        <w:t>二、资格及符合性响应文件</w:t>
      </w:r>
    </w:p>
    <w:p w14:paraId="6AE65C2B">
      <w:pPr>
        <w:spacing w:line="480" w:lineRule="auto"/>
        <w:rPr>
          <w:rFonts w:ascii="黑体" w:hAnsi="宋体"/>
          <w:b/>
          <w:color w:val="auto"/>
          <w:sz w:val="30"/>
        </w:rPr>
      </w:pPr>
      <w:r>
        <w:rPr>
          <w:rFonts w:hint="eastAsia" w:ascii="黑体" w:hAnsi="宋体"/>
          <w:b/>
          <w:color w:val="auto"/>
          <w:sz w:val="30"/>
        </w:rPr>
        <w:t>1、资格证明文件</w:t>
      </w:r>
    </w:p>
    <w:p w14:paraId="50C38188">
      <w:pPr>
        <w:snapToGrid w:val="0"/>
        <w:spacing w:line="360" w:lineRule="auto"/>
        <w:ind w:firstLine="420" w:firstLineChars="200"/>
        <w:rPr>
          <w:rFonts w:ascii="宋体" w:hAnsi="宋体" w:cs="Tahoma"/>
          <w:color w:val="auto"/>
          <w:szCs w:val="21"/>
        </w:rPr>
      </w:pPr>
      <w:bookmarkStart w:id="136" w:name="_Toc334797771"/>
      <w:r>
        <w:rPr>
          <w:rFonts w:hint="eastAsia" w:ascii="宋体" w:hAnsi="宋体" w:cs="Tahoma"/>
          <w:color w:val="auto"/>
          <w:szCs w:val="21"/>
        </w:rPr>
        <w:t>1.供应商具备《政府采购法》第二十二条所规定的条件。提供以下材料：</w:t>
      </w:r>
    </w:p>
    <w:p w14:paraId="26E0E910">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（1）具有独立承担民事责任的能力（提供法人营业执照或者其他组织登记文件等证明文件，自然人的身份证明）；</w:t>
      </w:r>
    </w:p>
    <w:p w14:paraId="213A25DB">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（2）具有良好的商业信誉和健全的财务会计制度（提供《资格条件承诺函》）；</w:t>
      </w:r>
    </w:p>
    <w:p w14:paraId="2FB0B6A5">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（3）有依法缴纳税收和社会保障资金的良好记录（提供《资格条件承诺函》）；</w:t>
      </w:r>
    </w:p>
    <w:p w14:paraId="1E7EC6BF">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（4）具有履行合同所必需的设备和专业技术能力（提供《资格条件承诺函》）；</w:t>
      </w:r>
    </w:p>
    <w:p w14:paraId="33A54794">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（5）提供参加政府采购活动前三年内在经营活动中没有重大违法记录的书面声明（填写磋商文件格式4资格声明函）；</w:t>
      </w:r>
    </w:p>
    <w:p w14:paraId="19C5B3B9">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2.未列入“信用中国”网站中“记录失信被执行人或重大税收违法失信主体或政府采购严重违法失信行为”的记录名单；不处于“中国政府采购网”中“政府采购严重违法失信行为信息记录”的禁止参加政府采购活动期间（以“信用中国”网站（www.creditchina.gov.cn）及中国政府采购网(www.ccgp.gov.cn)查询结果为准，如在上述网站查询结果均显示没有相关记录，视为没有上述不良信用记录。如相关失信记录已失效，供应商须提供相关证明资料）。</w:t>
      </w:r>
    </w:p>
    <w:p w14:paraId="7F53795F">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3.供应商须具备建设行政主管部门颁发的建筑工程施工总承包三级以上（含三级）资质，并具备有效的安全生产许可证。【根据有关文件精神，供应商的企业相关证书到期的，均按该证书的发证机构相关行业主管部门最新文件执行（如自动顺延或推迟办理延期业务的通知），供应商必须将相关文件附在该证书后面，证明在开标日继续有效。】</w:t>
      </w:r>
    </w:p>
    <w:p w14:paraId="34465D9A">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4</w:t>
      </w:r>
      <w:r>
        <w:rPr>
          <w:rFonts w:hint="eastAsia" w:ascii="宋体" w:hAnsi="宋体" w:cs="Tahoma"/>
          <w:color w:val="auto"/>
          <w:szCs w:val="21"/>
        </w:rPr>
        <w:t>.已登记报名并获取本项目采购文件。</w:t>
      </w:r>
    </w:p>
    <w:p w14:paraId="380D4566">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5</w:t>
      </w:r>
      <w:r>
        <w:rPr>
          <w:rFonts w:hint="eastAsia" w:ascii="宋体" w:hAnsi="宋体" w:cs="Tahoma"/>
          <w:color w:val="auto"/>
          <w:szCs w:val="21"/>
        </w:rPr>
        <w:t>.本项目不接受联合体报价。</w:t>
      </w:r>
    </w:p>
    <w:p w14:paraId="10CDDE0C">
      <w:pPr>
        <w:snapToGrid w:val="0"/>
        <w:spacing w:line="360" w:lineRule="auto"/>
        <w:ind w:firstLine="420" w:firstLineChars="200"/>
        <w:rPr>
          <w:rFonts w:ascii="宋体" w:hAnsi="宋体" w:cs="Tahoma"/>
          <w:color w:val="auto"/>
          <w:szCs w:val="21"/>
        </w:rPr>
      </w:pPr>
      <w:r>
        <w:rPr>
          <w:rFonts w:hint="eastAsia" w:ascii="宋体" w:hAnsi="宋体" w:cs="Tahoma"/>
          <w:color w:val="auto"/>
          <w:szCs w:val="21"/>
          <w:lang w:val="en-US" w:eastAsia="zh-CN"/>
        </w:rPr>
        <w:t>6</w:t>
      </w:r>
      <w:r>
        <w:rPr>
          <w:rFonts w:hint="eastAsia" w:ascii="宋体" w:hAnsi="宋体" w:cs="Tahoma"/>
          <w:color w:val="auto"/>
          <w:szCs w:val="21"/>
        </w:rPr>
        <w:t xml:space="preserve">.存在隶属关系或同属一母公司或法人的企业，仅能由一家企业参与投标。 </w:t>
      </w:r>
    </w:p>
    <w:p w14:paraId="35E9ADA9">
      <w:pPr>
        <w:spacing w:line="480" w:lineRule="auto"/>
        <w:rPr>
          <w:rFonts w:ascii="黑体" w:hAnsi="宋体"/>
          <w:b/>
          <w:color w:val="auto"/>
          <w:sz w:val="30"/>
        </w:rPr>
      </w:pPr>
      <w:r>
        <w:rPr>
          <w:rFonts w:hint="eastAsia" w:ascii="黑体" w:hAnsi="宋体"/>
          <w:b/>
          <w:color w:val="auto"/>
          <w:sz w:val="30"/>
        </w:rPr>
        <w:t>2、符合性响应文件</w:t>
      </w:r>
    </w:p>
    <w:p w14:paraId="585A4454">
      <w:pPr>
        <w:spacing w:line="360" w:lineRule="auto"/>
        <w:rPr>
          <w:rFonts w:ascii="宋体" w:hAnsi="宋体"/>
          <w:color w:val="auto"/>
          <w:szCs w:val="21"/>
        </w:rPr>
      </w:pPr>
      <w:r>
        <w:rPr>
          <w:rFonts w:hint="eastAsia" w:ascii="宋体" w:hAnsi="宋体"/>
          <w:color w:val="auto"/>
          <w:szCs w:val="21"/>
        </w:rPr>
        <w:t>1.首次报价唯一，不高于采购人需求规定的最高限价；</w:t>
      </w:r>
    </w:p>
    <w:p w14:paraId="438D32F3">
      <w:pPr>
        <w:spacing w:line="360" w:lineRule="auto"/>
        <w:rPr>
          <w:rFonts w:ascii="宋体" w:hAnsi="宋体"/>
          <w:color w:val="auto"/>
          <w:szCs w:val="21"/>
        </w:rPr>
      </w:pPr>
      <w:r>
        <w:rPr>
          <w:rFonts w:hint="eastAsia" w:ascii="宋体" w:hAnsi="宋体"/>
          <w:color w:val="auto"/>
          <w:szCs w:val="21"/>
        </w:rPr>
        <w:t>2.是否已按磋商文件规定提交磋商保证金；</w:t>
      </w:r>
    </w:p>
    <w:p w14:paraId="0A0764E8">
      <w:pPr>
        <w:spacing w:line="360" w:lineRule="auto"/>
        <w:rPr>
          <w:rFonts w:ascii="宋体" w:hAnsi="宋体"/>
          <w:color w:val="auto"/>
          <w:szCs w:val="21"/>
        </w:rPr>
      </w:pPr>
      <w:r>
        <w:rPr>
          <w:rFonts w:hint="eastAsia" w:ascii="宋体" w:hAnsi="宋体"/>
          <w:color w:val="auto"/>
          <w:szCs w:val="21"/>
        </w:rPr>
        <w:t>3.是否符合磋商文件的签署、盖章要求；</w:t>
      </w:r>
    </w:p>
    <w:p w14:paraId="4E802FCC">
      <w:pPr>
        <w:spacing w:line="360" w:lineRule="auto"/>
        <w:rPr>
          <w:rFonts w:ascii="宋体" w:hAnsi="宋体"/>
          <w:color w:val="auto"/>
          <w:szCs w:val="21"/>
        </w:rPr>
      </w:pPr>
      <w:r>
        <w:rPr>
          <w:rFonts w:hint="eastAsia" w:ascii="宋体" w:hAnsi="宋体"/>
          <w:color w:val="auto"/>
          <w:szCs w:val="21"/>
        </w:rPr>
        <w:t>4.是否按磋商文件要求提供</w:t>
      </w:r>
      <w:r>
        <w:rPr>
          <w:rFonts w:ascii="宋体" w:hAnsi="宋体"/>
          <w:color w:val="auto"/>
          <w:szCs w:val="21"/>
        </w:rPr>
        <w:t>法定代表人证明</w:t>
      </w:r>
      <w:r>
        <w:rPr>
          <w:rFonts w:hint="eastAsia" w:ascii="宋体" w:hAnsi="宋体"/>
          <w:color w:val="auto"/>
          <w:szCs w:val="21"/>
        </w:rPr>
        <w:t>及授</w:t>
      </w:r>
      <w:r>
        <w:rPr>
          <w:rFonts w:ascii="宋体" w:hAnsi="宋体"/>
          <w:color w:val="auto"/>
          <w:szCs w:val="21"/>
        </w:rPr>
        <w:t>权书</w:t>
      </w:r>
      <w:r>
        <w:rPr>
          <w:rFonts w:hint="eastAsia" w:ascii="宋体" w:hAnsi="宋体"/>
          <w:color w:val="auto"/>
          <w:szCs w:val="21"/>
        </w:rPr>
        <w:t>；</w:t>
      </w:r>
    </w:p>
    <w:p w14:paraId="0224B675">
      <w:pPr>
        <w:spacing w:line="360" w:lineRule="auto"/>
        <w:rPr>
          <w:rFonts w:ascii="宋体" w:hAnsi="宋体"/>
          <w:color w:val="auto"/>
          <w:szCs w:val="21"/>
        </w:rPr>
      </w:pPr>
      <w:r>
        <w:rPr>
          <w:rFonts w:hint="eastAsia" w:ascii="宋体" w:hAnsi="宋体"/>
          <w:color w:val="auto"/>
          <w:szCs w:val="21"/>
        </w:rPr>
        <w:t>5.是否符合磋商文件投标有效期要求；</w:t>
      </w:r>
    </w:p>
    <w:p w14:paraId="5431592D">
      <w:pPr>
        <w:spacing w:line="360" w:lineRule="auto"/>
        <w:rPr>
          <w:rFonts w:ascii="宋体" w:hAnsi="宋体"/>
          <w:color w:val="auto"/>
          <w:szCs w:val="21"/>
        </w:rPr>
      </w:pPr>
      <w:r>
        <w:rPr>
          <w:rFonts w:hint="eastAsia" w:ascii="宋体" w:hAnsi="宋体"/>
          <w:color w:val="auto"/>
          <w:szCs w:val="21"/>
        </w:rPr>
        <w:t>6.是否满足磋商文件中带★号的条款和指标，且符合磋商文件的其他要求，没有重大偏离；</w:t>
      </w:r>
    </w:p>
    <w:p w14:paraId="1AA85457">
      <w:pPr>
        <w:spacing w:line="360" w:lineRule="auto"/>
        <w:rPr>
          <w:rFonts w:ascii="宋体" w:hAnsi="宋体"/>
          <w:color w:val="auto"/>
          <w:szCs w:val="21"/>
        </w:rPr>
      </w:pPr>
      <w:r>
        <w:rPr>
          <w:rFonts w:hint="eastAsia" w:ascii="宋体" w:hAnsi="宋体"/>
          <w:color w:val="auto"/>
          <w:szCs w:val="21"/>
        </w:rPr>
        <w:t>7.是否发现无效投标的其他情形；</w:t>
      </w:r>
    </w:p>
    <w:bookmarkEnd w:id="136"/>
    <w:p w14:paraId="27855BA6">
      <w:pPr>
        <w:rPr>
          <w:color w:val="auto"/>
        </w:rPr>
      </w:pPr>
      <w:bookmarkStart w:id="137" w:name="_Toc410028182"/>
      <w:bookmarkStart w:id="138" w:name="_Toc409622295"/>
      <w:bookmarkStart w:id="139" w:name="_Toc409554389"/>
      <w:r>
        <w:rPr>
          <w:rFonts w:hint="eastAsia"/>
          <w:color w:val="auto"/>
        </w:rPr>
        <w:br w:type="page"/>
      </w:r>
    </w:p>
    <w:p w14:paraId="464947CF">
      <w:pPr>
        <w:pStyle w:val="5"/>
        <w:rPr>
          <w:color w:val="auto"/>
        </w:rPr>
      </w:pPr>
      <w:r>
        <w:rPr>
          <w:rFonts w:hint="eastAsia"/>
          <w:color w:val="auto"/>
        </w:rPr>
        <w:t>格式4                 资格声明函</w:t>
      </w:r>
    </w:p>
    <w:p w14:paraId="370559E0">
      <w:pPr>
        <w:spacing w:line="300" w:lineRule="auto"/>
        <w:rPr>
          <w:rFonts w:ascii="宋体" w:hAnsi="宋体"/>
          <w:b/>
          <w:color w:val="auto"/>
          <w:szCs w:val="21"/>
        </w:rPr>
      </w:pPr>
      <w:r>
        <w:rPr>
          <w:rFonts w:hint="eastAsia" w:ascii="宋体" w:hAnsi="宋体"/>
          <w:b/>
          <w:color w:val="auto"/>
          <w:szCs w:val="21"/>
          <w:lang w:eastAsia="zh-CN"/>
        </w:rPr>
        <w:t>广州群生招标代理有限公司韶关分公司</w:t>
      </w:r>
      <w:r>
        <w:rPr>
          <w:rFonts w:hint="eastAsia" w:ascii="宋体" w:hAnsi="宋体"/>
          <w:b/>
          <w:color w:val="auto"/>
          <w:szCs w:val="21"/>
        </w:rPr>
        <w:t>：</w:t>
      </w:r>
    </w:p>
    <w:p w14:paraId="053B8DE8">
      <w:pPr>
        <w:spacing w:line="300" w:lineRule="auto"/>
        <w:ind w:firstLine="540"/>
        <w:rPr>
          <w:rFonts w:ascii="宋体" w:hAnsi="宋体"/>
          <w:color w:val="auto"/>
          <w:szCs w:val="21"/>
        </w:rPr>
      </w:pPr>
      <w:r>
        <w:rPr>
          <w:rFonts w:hint="eastAsia" w:ascii="宋体" w:hAnsi="宋体"/>
          <w:color w:val="auto"/>
          <w:szCs w:val="21"/>
        </w:rPr>
        <w:t>我方愿响应你方</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日发布的</w:t>
      </w:r>
      <w:r>
        <w:rPr>
          <w:rFonts w:hint="eastAsia" w:ascii="宋体" w:hAnsi="宋体" w:cs="宋体"/>
          <w:color w:val="auto"/>
          <w:szCs w:val="21"/>
          <w:u w:val="single"/>
        </w:rPr>
        <w:t xml:space="preserve">     项目</w:t>
      </w: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olor w:val="auto"/>
          <w:szCs w:val="21"/>
        </w:rPr>
        <w:t>投标邀请，参与投标，提供采购人需求中规定的全部内容，并按磋商文件要求提交所附资格文件且声明和保证如下：</w:t>
      </w:r>
    </w:p>
    <w:p w14:paraId="0C21F87F">
      <w:pPr>
        <w:numPr>
          <w:ilvl w:val="0"/>
          <w:numId w:val="0"/>
        </w:numPr>
        <w:spacing w:line="300" w:lineRule="auto"/>
        <w:ind w:left="960" w:leftChars="0" w:hanging="420" w:firstLineChars="0"/>
        <w:rPr>
          <w:rFonts w:ascii="宋体" w:hAnsi="宋体"/>
          <w:color w:val="auto"/>
          <w:szCs w:val="21"/>
        </w:rPr>
      </w:pPr>
      <w:r>
        <w:rPr>
          <w:rFonts w:ascii="宋体" w:hAnsi="宋体" w:eastAsia="宋体" w:cs="Times New Roman"/>
          <w:color w:val="auto"/>
          <w:kern w:val="2"/>
          <w:sz w:val="21"/>
          <w:szCs w:val="21"/>
          <w:lang w:val="en-US" w:eastAsia="zh-CN" w:bidi="ar-SA"/>
        </w:rPr>
        <w:t>1.</w:t>
      </w:r>
      <w:r>
        <w:rPr>
          <w:rFonts w:hint="eastAsia" w:ascii="宋体" w:hAnsi="宋体"/>
          <w:color w:val="auto"/>
          <w:szCs w:val="21"/>
        </w:rPr>
        <w:t>我方为本次投标所提交的所有证明我方提供货物和服务合格和我方资格的文件是真实的和正确的，并愿为其真实性和正确性承担法律责任；核验我方提供相关复印件与原件不一致的，或我方无法在规定时间内提供原件的，采购人或采购代理机构有权取消我方投标或成交资格；提供给采购人的货物及服务与投标承诺一致。</w:t>
      </w:r>
    </w:p>
    <w:p w14:paraId="33296FC7">
      <w:pPr>
        <w:numPr>
          <w:ilvl w:val="0"/>
          <w:numId w:val="0"/>
        </w:numPr>
        <w:spacing w:line="300" w:lineRule="auto"/>
        <w:ind w:left="960" w:leftChars="0" w:hanging="420" w:firstLineChars="0"/>
        <w:rPr>
          <w:rFonts w:ascii="宋体" w:hAnsi="宋体"/>
          <w:color w:val="auto"/>
          <w:szCs w:val="21"/>
        </w:rPr>
      </w:pPr>
      <w:r>
        <w:rPr>
          <w:rFonts w:ascii="宋体" w:hAnsi="宋体" w:eastAsia="宋体" w:cs="Times New Roman"/>
          <w:color w:val="auto"/>
          <w:kern w:val="2"/>
          <w:sz w:val="21"/>
          <w:szCs w:val="21"/>
          <w:lang w:val="en-US" w:eastAsia="zh-CN" w:bidi="ar-SA"/>
        </w:rPr>
        <w:t>2.</w:t>
      </w:r>
      <w:r>
        <w:rPr>
          <w:rFonts w:hint="eastAsia" w:ascii="宋体" w:hAnsi="宋体"/>
          <w:color w:val="auto"/>
          <w:szCs w:val="21"/>
        </w:rPr>
        <w:t>我方在参与本次投标时，符合 《中华人民共和国</w:t>
      </w:r>
      <w:r>
        <w:rPr>
          <w:rFonts w:hint="eastAsia"/>
          <w:color w:val="auto"/>
          <w:szCs w:val="21"/>
        </w:rPr>
        <w:t>政府采购法》第二十二条供应商资格条件要求及其他法律法规规定要求。</w:t>
      </w:r>
      <w:r>
        <w:rPr>
          <w:rFonts w:hint="eastAsia" w:ascii="宋体" w:hAnsi="宋体" w:cs="Arial"/>
          <w:color w:val="auto"/>
          <w:szCs w:val="21"/>
        </w:rPr>
        <w:t>具有履行合同所必需的设备和专业技术能力。</w:t>
      </w:r>
    </w:p>
    <w:p w14:paraId="1DEDC671">
      <w:pPr>
        <w:numPr>
          <w:ilvl w:val="0"/>
          <w:numId w:val="0"/>
        </w:numPr>
        <w:spacing w:line="300" w:lineRule="auto"/>
        <w:ind w:left="960" w:leftChars="0" w:hanging="420" w:firstLineChars="0"/>
        <w:rPr>
          <w:rFonts w:ascii="宋体" w:hAnsi="宋体"/>
          <w:color w:val="auto"/>
          <w:szCs w:val="21"/>
        </w:rPr>
      </w:pPr>
      <w:r>
        <w:rPr>
          <w:rFonts w:ascii="宋体" w:hAnsi="宋体" w:eastAsia="宋体" w:cs="Times New Roman"/>
          <w:color w:val="auto"/>
          <w:kern w:val="2"/>
          <w:sz w:val="21"/>
          <w:szCs w:val="21"/>
          <w:lang w:val="en-US" w:eastAsia="zh-CN" w:bidi="ar-SA"/>
        </w:rPr>
        <w:t>3.</w:t>
      </w:r>
      <w:r>
        <w:rPr>
          <w:rFonts w:hint="eastAsia" w:ascii="宋体" w:hAnsi="宋体"/>
          <w:color w:val="auto"/>
          <w:szCs w:val="21"/>
        </w:rPr>
        <w:t>我方在参加本次投标近</w:t>
      </w:r>
      <w:r>
        <w:rPr>
          <w:rFonts w:hint="eastAsia" w:ascii="宋体" w:hAnsi="宋体"/>
          <w:color w:val="auto"/>
          <w:szCs w:val="21"/>
          <w:u w:val="single"/>
        </w:rPr>
        <w:t>三</w:t>
      </w:r>
      <w:r>
        <w:rPr>
          <w:rFonts w:hint="eastAsia" w:ascii="宋体" w:hAnsi="宋体"/>
          <w:color w:val="auto"/>
          <w:szCs w:val="21"/>
        </w:rPr>
        <w:t>年内，在经营活动及参与招标投标活动中没有重大违法活动及涉嫌违规行为，并没有因而被有关部门警告或处分的记录。</w:t>
      </w:r>
    </w:p>
    <w:p w14:paraId="3FFE60AF">
      <w:pPr>
        <w:numPr>
          <w:ilvl w:val="0"/>
          <w:numId w:val="0"/>
        </w:numPr>
        <w:spacing w:line="300" w:lineRule="auto"/>
        <w:ind w:left="960" w:leftChars="0" w:hanging="420" w:firstLineChars="0"/>
        <w:rPr>
          <w:rFonts w:ascii="宋体" w:hAnsi="宋体"/>
          <w:color w:val="auto"/>
          <w:szCs w:val="21"/>
        </w:rPr>
      </w:pPr>
      <w:r>
        <w:rPr>
          <w:rFonts w:ascii="宋体" w:hAnsi="宋体" w:eastAsia="宋体" w:cs="Times New Roman"/>
          <w:color w:val="auto"/>
          <w:kern w:val="2"/>
          <w:sz w:val="21"/>
          <w:szCs w:val="21"/>
          <w:lang w:val="en-US" w:eastAsia="zh-CN" w:bidi="ar-SA"/>
        </w:rPr>
        <w:t>4.</w:t>
      </w:r>
      <w:r>
        <w:rPr>
          <w:rFonts w:hint="eastAsia" w:ascii="宋体" w:hAnsi="宋体" w:cs="Tahoma"/>
          <w:color w:val="auto"/>
          <w:szCs w:val="21"/>
        </w:rPr>
        <w:t>存在隶属关系或同属一母公司或法人的企业，仅能由一家企业参与投标。</w:t>
      </w:r>
    </w:p>
    <w:p w14:paraId="064AFFB8">
      <w:pPr>
        <w:numPr>
          <w:ilvl w:val="0"/>
          <w:numId w:val="0"/>
        </w:numPr>
        <w:spacing w:line="300" w:lineRule="auto"/>
        <w:ind w:left="960" w:leftChars="0" w:hanging="420" w:firstLineChars="0"/>
        <w:rPr>
          <w:rFonts w:ascii="宋体" w:hAnsi="宋体"/>
          <w:color w:val="auto"/>
          <w:szCs w:val="21"/>
        </w:rPr>
      </w:pPr>
      <w:r>
        <w:rPr>
          <w:rFonts w:ascii="宋体" w:hAnsi="宋体" w:eastAsia="宋体" w:cs="Times New Roman"/>
          <w:color w:val="auto"/>
          <w:kern w:val="2"/>
          <w:sz w:val="21"/>
          <w:szCs w:val="21"/>
          <w:lang w:val="en-US" w:eastAsia="zh-CN" w:bidi="ar-SA"/>
        </w:rPr>
        <w:t>5.</w:t>
      </w:r>
      <w:r>
        <w:rPr>
          <w:rFonts w:hint="eastAsia" w:ascii="宋体" w:hAnsi="宋体"/>
          <w:color w:val="auto"/>
          <w:szCs w:val="21"/>
        </w:rPr>
        <w:t>我方如成交，除不可抗力原因外，将在规定时间内与采购人签订合同。</w:t>
      </w:r>
    </w:p>
    <w:p w14:paraId="0E816E02">
      <w:pPr>
        <w:spacing w:line="300" w:lineRule="auto"/>
        <w:ind w:firstLine="420" w:firstLineChars="200"/>
        <w:rPr>
          <w:rFonts w:ascii="宋体" w:hAnsi="宋体"/>
          <w:color w:val="auto"/>
          <w:szCs w:val="21"/>
        </w:rPr>
      </w:pPr>
      <w:r>
        <w:rPr>
          <w:rFonts w:hint="eastAsia" w:ascii="宋体" w:hAnsi="宋体"/>
          <w:color w:val="auto"/>
          <w:szCs w:val="21"/>
        </w:rPr>
        <w:t>如有违反上述声明之情形，采购人有权取消我方成交资格并提交相关监管部门处理。</w:t>
      </w:r>
    </w:p>
    <w:p w14:paraId="2DB5F7B1">
      <w:pPr>
        <w:spacing w:line="300" w:lineRule="auto"/>
        <w:ind w:firstLine="420" w:firstLineChars="200"/>
        <w:rPr>
          <w:rFonts w:ascii="宋体" w:hAnsi="宋体"/>
          <w:bCs/>
          <w:color w:val="auto"/>
          <w:szCs w:val="21"/>
        </w:rPr>
      </w:pPr>
      <w:r>
        <w:rPr>
          <w:rFonts w:hint="eastAsia" w:ascii="宋体" w:hAnsi="宋体"/>
          <w:bCs/>
          <w:color w:val="auto"/>
          <w:szCs w:val="21"/>
        </w:rPr>
        <w:t>供应商全称（加盖公章）：</w:t>
      </w:r>
    </w:p>
    <w:p w14:paraId="2A184B6A">
      <w:pPr>
        <w:spacing w:line="300" w:lineRule="auto"/>
        <w:ind w:firstLine="420" w:firstLineChars="200"/>
        <w:rPr>
          <w:rFonts w:ascii="宋体" w:hAnsi="宋体"/>
          <w:color w:val="auto"/>
          <w:szCs w:val="21"/>
        </w:rPr>
      </w:pPr>
      <w:r>
        <w:rPr>
          <w:rFonts w:hint="eastAsia" w:ascii="宋体" w:hAnsi="宋体"/>
          <w:bCs/>
          <w:color w:val="auto"/>
          <w:szCs w:val="21"/>
        </w:rPr>
        <w:t>法定代表人或其供应商授权代表(</w:t>
      </w:r>
      <w:r>
        <w:rPr>
          <w:rFonts w:hint="eastAsia" w:ascii="宋体" w:hAnsi="宋体"/>
          <w:color w:val="auto"/>
          <w:szCs w:val="21"/>
        </w:rPr>
        <w:t>签字</w:t>
      </w:r>
      <w:r>
        <w:rPr>
          <w:rFonts w:hint="eastAsia" w:ascii="宋体" w:hAnsi="宋体"/>
          <w:bCs/>
          <w:color w:val="auto"/>
          <w:szCs w:val="21"/>
        </w:rPr>
        <w:t>)：</w:t>
      </w:r>
      <w:r>
        <w:rPr>
          <w:rFonts w:hint="eastAsia" w:ascii="宋体" w:hAnsi="宋体"/>
          <w:color w:val="auto"/>
          <w:szCs w:val="21"/>
        </w:rPr>
        <w:t xml:space="preserve">                日    期：     年   月   日</w:t>
      </w:r>
    </w:p>
    <w:p w14:paraId="7A98AFA5">
      <w:pPr>
        <w:rPr>
          <w:color w:val="auto"/>
        </w:rPr>
      </w:pPr>
      <w:r>
        <w:rPr>
          <w:rFonts w:hint="eastAsia"/>
          <w:color w:val="auto"/>
        </w:rPr>
        <w:br w:type="page"/>
      </w:r>
    </w:p>
    <w:p w14:paraId="49EC72D3">
      <w:pPr>
        <w:pStyle w:val="5"/>
        <w:rPr>
          <w:color w:val="auto"/>
        </w:rPr>
      </w:pPr>
      <w:r>
        <w:rPr>
          <w:rFonts w:hint="eastAsia"/>
          <w:color w:val="auto"/>
        </w:rPr>
        <w:t xml:space="preserve">格式5                   </w:t>
      </w:r>
      <w:r>
        <w:rPr>
          <w:color w:val="auto"/>
        </w:rPr>
        <w:t>资格条件承诺函</w:t>
      </w:r>
    </w:p>
    <w:p w14:paraId="0201EBBA">
      <w:pPr>
        <w:jc w:val="center"/>
        <w:rPr>
          <w:rFonts w:ascii="宋体" w:hAnsi="宋体" w:cs="宋体"/>
          <w:color w:val="auto"/>
          <w:sz w:val="28"/>
          <w:szCs w:val="28"/>
        </w:rPr>
      </w:pPr>
      <w:r>
        <w:rPr>
          <w:rFonts w:hint="eastAsia" w:ascii="宋体" w:hAnsi="宋体" w:cs="宋体"/>
          <w:color w:val="auto"/>
          <w:sz w:val="28"/>
          <w:szCs w:val="28"/>
        </w:rPr>
        <w:t>（样本）</w:t>
      </w:r>
    </w:p>
    <w:p w14:paraId="4B1FA60C">
      <w:pPr>
        <w:rPr>
          <w:rFonts w:ascii="宋体" w:hAnsi="宋体" w:cs="宋体"/>
          <w:color w:val="auto"/>
          <w:sz w:val="28"/>
          <w:szCs w:val="28"/>
        </w:rPr>
      </w:pPr>
    </w:p>
    <w:p w14:paraId="1A6FFFDA">
      <w:pPr>
        <w:ind w:firstLine="560" w:firstLineChars="200"/>
        <w:rPr>
          <w:rFonts w:ascii="宋体" w:hAnsi="宋体" w:cs="宋体"/>
          <w:color w:val="auto"/>
          <w:sz w:val="28"/>
          <w:szCs w:val="28"/>
        </w:rPr>
      </w:pPr>
      <w:r>
        <w:rPr>
          <w:rFonts w:hint="eastAsia" w:ascii="宋体" w:hAnsi="宋体" w:cs="宋体"/>
          <w:color w:val="auto"/>
          <w:sz w:val="28"/>
          <w:szCs w:val="28"/>
        </w:rPr>
        <w:t>我方</w:t>
      </w:r>
      <w:r>
        <w:rPr>
          <w:rFonts w:hint="eastAsia" w:ascii="宋体" w:hAnsi="宋体" w:cs="宋体"/>
          <w:color w:val="auto"/>
          <w:sz w:val="28"/>
          <w:szCs w:val="28"/>
          <w:u w:val="single"/>
        </w:rPr>
        <w:t>（供应商名称）</w:t>
      </w:r>
      <w:r>
        <w:rPr>
          <w:rFonts w:hint="eastAsia" w:ascii="宋体" w:hAnsi="宋体" w:cs="宋体"/>
          <w:color w:val="auto"/>
          <w:sz w:val="28"/>
          <w:szCs w:val="28"/>
        </w:rPr>
        <w:t>符合《中华人民共和国政府采购法》第二十二条第一款第（二）项、第（三）项、第（四）项、第（五）项规定条件，具体包括：</w:t>
      </w:r>
    </w:p>
    <w:p w14:paraId="1CFE32EF">
      <w:pPr>
        <w:ind w:firstLine="560" w:firstLineChars="200"/>
        <w:rPr>
          <w:rFonts w:ascii="宋体" w:hAnsi="宋体" w:cs="宋体"/>
          <w:color w:val="auto"/>
          <w:sz w:val="28"/>
          <w:szCs w:val="28"/>
        </w:rPr>
      </w:pPr>
      <w:r>
        <w:rPr>
          <w:rFonts w:hint="eastAsia" w:ascii="宋体" w:hAnsi="宋体" w:cs="宋体"/>
          <w:color w:val="auto"/>
          <w:sz w:val="28"/>
          <w:szCs w:val="28"/>
        </w:rPr>
        <w:t>1.具有良好的商业信誉和健全的财务会计制度；</w:t>
      </w:r>
    </w:p>
    <w:p w14:paraId="6FBBD2CE">
      <w:pPr>
        <w:ind w:firstLine="560" w:firstLineChars="200"/>
        <w:rPr>
          <w:rFonts w:ascii="宋体" w:hAnsi="宋体" w:cs="宋体"/>
          <w:color w:val="auto"/>
          <w:sz w:val="28"/>
          <w:szCs w:val="28"/>
        </w:rPr>
      </w:pPr>
      <w:r>
        <w:rPr>
          <w:rFonts w:hint="eastAsia" w:ascii="宋体" w:hAnsi="宋体" w:cs="宋体"/>
          <w:color w:val="auto"/>
          <w:sz w:val="28"/>
          <w:szCs w:val="28"/>
        </w:rPr>
        <w:t>2.具有履行合同所必需的设备和专业技术能力；</w:t>
      </w:r>
    </w:p>
    <w:p w14:paraId="5E83435E">
      <w:pPr>
        <w:ind w:firstLine="560" w:firstLineChars="200"/>
        <w:rPr>
          <w:rFonts w:ascii="宋体" w:hAnsi="宋体" w:cs="宋体"/>
          <w:color w:val="auto"/>
          <w:sz w:val="28"/>
          <w:szCs w:val="28"/>
        </w:rPr>
      </w:pPr>
      <w:r>
        <w:rPr>
          <w:rFonts w:hint="eastAsia" w:ascii="宋体" w:hAnsi="宋体" w:cs="宋体"/>
          <w:color w:val="auto"/>
          <w:sz w:val="28"/>
          <w:szCs w:val="28"/>
        </w:rPr>
        <w:t>3.具有依法缴纳税收和社会保障资金的良好记录；</w:t>
      </w:r>
    </w:p>
    <w:p w14:paraId="79CE7227">
      <w:pPr>
        <w:ind w:firstLine="560" w:firstLineChars="200"/>
        <w:rPr>
          <w:rFonts w:ascii="宋体" w:hAnsi="宋体" w:cs="宋体"/>
          <w:color w:val="auto"/>
          <w:sz w:val="28"/>
          <w:szCs w:val="28"/>
        </w:rPr>
      </w:pPr>
      <w:r>
        <w:rPr>
          <w:rFonts w:hint="eastAsia" w:ascii="宋体" w:hAnsi="宋体" w:cs="宋体"/>
          <w:color w:val="auto"/>
          <w:sz w:val="28"/>
          <w:szCs w:val="28"/>
        </w:rPr>
        <w:t>4.参加政府采购活动前三年内，在经营活动中没有重大违法记录。</w:t>
      </w:r>
    </w:p>
    <w:p w14:paraId="7B30E5FE">
      <w:pPr>
        <w:ind w:firstLine="560" w:firstLineChars="200"/>
        <w:rPr>
          <w:rFonts w:ascii="宋体" w:hAnsi="宋体" w:cs="宋体"/>
          <w:color w:val="auto"/>
          <w:sz w:val="28"/>
          <w:szCs w:val="28"/>
        </w:rPr>
      </w:pPr>
      <w:r>
        <w:rPr>
          <w:rFonts w:hint="eastAsia" w:ascii="宋体" w:hAnsi="宋体" w:cs="宋体"/>
          <w:color w:val="auto"/>
          <w:sz w:val="28"/>
          <w:szCs w:val="28"/>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754A420F">
      <w:pPr>
        <w:ind w:firstLine="560" w:firstLineChars="200"/>
        <w:rPr>
          <w:rFonts w:ascii="宋体" w:hAnsi="宋体" w:cs="宋体"/>
          <w:color w:val="auto"/>
          <w:sz w:val="28"/>
          <w:szCs w:val="28"/>
        </w:rPr>
      </w:pPr>
      <w:r>
        <w:rPr>
          <w:rFonts w:hint="eastAsia" w:ascii="宋体" w:hAnsi="宋体" w:cs="宋体"/>
          <w:color w:val="auto"/>
          <w:sz w:val="28"/>
          <w:szCs w:val="28"/>
        </w:rPr>
        <w:t>特此承诺。</w:t>
      </w:r>
    </w:p>
    <w:p w14:paraId="4939230A">
      <w:pPr>
        <w:ind w:firstLine="560" w:firstLineChars="200"/>
        <w:rPr>
          <w:rFonts w:ascii="宋体" w:hAnsi="宋体" w:cs="宋体"/>
          <w:color w:val="auto"/>
          <w:sz w:val="28"/>
          <w:szCs w:val="28"/>
        </w:rPr>
      </w:pPr>
    </w:p>
    <w:p w14:paraId="3BB52D4C">
      <w:pPr>
        <w:ind w:firstLine="560" w:firstLineChars="200"/>
        <w:rPr>
          <w:rFonts w:ascii="宋体" w:hAnsi="宋体" w:cs="宋体"/>
          <w:color w:val="auto"/>
          <w:sz w:val="28"/>
          <w:szCs w:val="28"/>
        </w:rPr>
      </w:pPr>
    </w:p>
    <w:p w14:paraId="5FCBA8DD">
      <w:pPr>
        <w:ind w:firstLine="3640" w:firstLineChars="1300"/>
        <w:rPr>
          <w:rFonts w:ascii="宋体" w:hAnsi="宋体" w:cs="宋体"/>
          <w:color w:val="auto"/>
          <w:sz w:val="28"/>
          <w:szCs w:val="28"/>
        </w:rPr>
      </w:pPr>
      <w:r>
        <w:rPr>
          <w:rFonts w:hint="eastAsia" w:ascii="宋体" w:hAnsi="宋体" w:cs="宋体"/>
          <w:color w:val="auto"/>
          <w:sz w:val="28"/>
          <w:szCs w:val="28"/>
        </w:rPr>
        <w:t>供应商名称（公章）</w:t>
      </w:r>
    </w:p>
    <w:p w14:paraId="6AD18BF3">
      <w:pPr>
        <w:pStyle w:val="18"/>
        <w:spacing w:line="300" w:lineRule="auto"/>
        <w:outlineLvl w:val="0"/>
        <w:rPr>
          <w:rFonts w:hAnsi="宋体" w:cs="宋体"/>
          <w:b/>
          <w:color w:val="auto"/>
          <w:sz w:val="20"/>
          <w:szCs w:val="20"/>
        </w:rPr>
      </w:pPr>
      <w:r>
        <w:rPr>
          <w:rFonts w:hint="eastAsia" w:hAnsi="宋体" w:cs="宋体"/>
          <w:color w:val="auto"/>
          <w:sz w:val="28"/>
          <w:szCs w:val="28"/>
        </w:rPr>
        <w:t xml:space="preserve">                           年  月  日</w:t>
      </w:r>
    </w:p>
    <w:p w14:paraId="5CDB4117">
      <w:pPr>
        <w:spacing w:line="360" w:lineRule="auto"/>
        <w:rPr>
          <w:rFonts w:ascii="宋体" w:hAnsi="宋体"/>
          <w:color w:val="auto"/>
          <w:szCs w:val="21"/>
        </w:rPr>
      </w:pPr>
      <w:r>
        <w:rPr>
          <w:b/>
          <w:color w:val="auto"/>
          <w:szCs w:val="21"/>
        </w:rPr>
        <w:br w:type="page"/>
      </w:r>
    </w:p>
    <w:p w14:paraId="7FD8AB5B">
      <w:pPr>
        <w:pStyle w:val="5"/>
        <w:rPr>
          <w:color w:val="auto"/>
        </w:rPr>
      </w:pPr>
      <w:r>
        <w:rPr>
          <w:rFonts w:hint="eastAsia"/>
          <w:color w:val="auto"/>
        </w:rPr>
        <w:t>格式6               法定代表人证明及授权书</w:t>
      </w:r>
    </w:p>
    <w:p w14:paraId="6032273C">
      <w:pPr>
        <w:pStyle w:val="18"/>
        <w:spacing w:line="300" w:lineRule="auto"/>
        <w:rPr>
          <w:rFonts w:hAnsi="宋体"/>
          <w:b/>
          <w:color w:val="auto"/>
          <w:szCs w:val="21"/>
        </w:rPr>
      </w:pPr>
      <w:r>
        <w:rPr>
          <w:rFonts w:hint="eastAsia" w:hAnsi="宋体"/>
          <w:b/>
          <w:color w:val="auto"/>
          <w:szCs w:val="21"/>
        </w:rPr>
        <w:t>致：</w:t>
      </w:r>
      <w:r>
        <w:rPr>
          <w:rFonts w:hint="eastAsia" w:hAnsi="宋体"/>
          <w:b/>
          <w:color w:val="auto"/>
          <w:szCs w:val="21"/>
          <w:lang w:eastAsia="zh-CN"/>
        </w:rPr>
        <w:t>广州群生招标代理有限公司韶关分公司</w:t>
      </w:r>
      <w:r>
        <w:rPr>
          <w:rFonts w:hAnsi="宋体"/>
          <w:color w:val="auto"/>
          <w:szCs w:val="21"/>
        </w:rPr>
        <w:tab/>
      </w:r>
    </w:p>
    <w:p w14:paraId="779265B9">
      <w:pPr>
        <w:pStyle w:val="18"/>
        <w:spacing w:line="300" w:lineRule="auto"/>
        <w:ind w:firstLine="420" w:firstLineChars="200"/>
        <w:rPr>
          <w:rFonts w:hAnsi="宋体"/>
          <w:color w:val="auto"/>
          <w:szCs w:val="21"/>
        </w:rPr>
      </w:pPr>
      <w:r>
        <w:rPr>
          <w:rFonts w:hint="eastAsia" w:hAnsi="宋体"/>
          <w:color w:val="auto"/>
          <w:szCs w:val="21"/>
        </w:rPr>
        <w:t>本授权证明：</w:t>
      </w:r>
      <w:r>
        <w:rPr>
          <w:rFonts w:hint="eastAsia" w:hAnsi="宋体"/>
          <w:i/>
          <w:color w:val="auto"/>
          <w:szCs w:val="21"/>
          <w:u w:val="single"/>
        </w:rPr>
        <w:t>（法定代表人姓名）</w:t>
      </w:r>
      <w:r>
        <w:rPr>
          <w:rFonts w:hint="eastAsia" w:hAnsi="宋体"/>
          <w:color w:val="auto"/>
          <w:szCs w:val="21"/>
        </w:rPr>
        <w:t>是注册于</w:t>
      </w:r>
      <w:r>
        <w:rPr>
          <w:rFonts w:hint="eastAsia" w:hAnsi="宋体"/>
          <w:i/>
          <w:color w:val="auto"/>
          <w:szCs w:val="21"/>
          <w:u w:val="single"/>
        </w:rPr>
        <w:t>（省、市、县）</w:t>
      </w:r>
      <w:r>
        <w:rPr>
          <w:rFonts w:hint="eastAsia" w:hAnsi="宋体"/>
          <w:color w:val="auto"/>
          <w:szCs w:val="21"/>
        </w:rPr>
        <w:t>的</w:t>
      </w:r>
      <w:r>
        <w:rPr>
          <w:rFonts w:hint="eastAsia" w:hAnsi="宋体"/>
          <w:i/>
          <w:color w:val="auto"/>
          <w:szCs w:val="21"/>
          <w:u w:val="single"/>
        </w:rPr>
        <w:t>（供应商名称）</w:t>
      </w:r>
      <w:r>
        <w:rPr>
          <w:rFonts w:hint="eastAsia" w:hAnsi="宋体"/>
          <w:color w:val="auto"/>
          <w:szCs w:val="21"/>
        </w:rPr>
        <w:t>的法定代表人，现任</w:t>
      </w:r>
      <w:r>
        <w:rPr>
          <w:rFonts w:hint="eastAsia" w:hAnsi="宋体"/>
          <w:i/>
          <w:color w:val="auto"/>
          <w:szCs w:val="21"/>
          <w:u w:val="single"/>
        </w:rPr>
        <w:t>（法定代表人职务）</w:t>
      </w:r>
      <w:r>
        <w:rPr>
          <w:rFonts w:hint="eastAsia" w:hAnsi="宋体"/>
          <w:color w:val="auto"/>
          <w:szCs w:val="21"/>
        </w:rPr>
        <w:t>。在此授权</w:t>
      </w:r>
      <w:r>
        <w:rPr>
          <w:rFonts w:hint="eastAsia" w:hAnsi="宋体"/>
          <w:i/>
          <w:color w:val="auto"/>
          <w:szCs w:val="21"/>
          <w:u w:val="single"/>
        </w:rPr>
        <w:t>（被授权人姓名、职务）</w:t>
      </w:r>
      <w:r>
        <w:rPr>
          <w:rFonts w:hint="eastAsia" w:hAnsi="宋体"/>
          <w:color w:val="auto"/>
          <w:szCs w:val="21"/>
        </w:rPr>
        <w:t>作为我公司的全权代理人，在</w:t>
      </w:r>
      <w:r>
        <w:rPr>
          <w:rFonts w:hint="eastAsia" w:hAnsi="宋体"/>
          <w:i/>
          <w:color w:val="auto"/>
          <w:szCs w:val="21"/>
          <w:u w:val="single"/>
        </w:rPr>
        <w:t>（项目名称）</w:t>
      </w:r>
      <w:r>
        <w:rPr>
          <w:rFonts w:hint="eastAsia" w:hAnsi="宋体"/>
          <w:color w:val="auto"/>
          <w:szCs w:val="21"/>
        </w:rPr>
        <w:t>的投标（项目编号为：</w:t>
      </w:r>
      <w:r>
        <w:rPr>
          <w:rFonts w:hint="eastAsia" w:hAnsi="宋体"/>
          <w:color w:val="auto"/>
          <w:szCs w:val="21"/>
          <w:u w:val="single"/>
        </w:rPr>
        <w:t xml:space="preserve">                  </w:t>
      </w:r>
      <w:r>
        <w:rPr>
          <w:rFonts w:hint="eastAsia" w:hAnsi="宋体"/>
          <w:color w:val="auto"/>
          <w:szCs w:val="21"/>
        </w:rPr>
        <w:t>）及其合同执行过程中，以我公司的名义处理一切与之有关的事务。</w:t>
      </w:r>
    </w:p>
    <w:p w14:paraId="3C9E704B">
      <w:pPr>
        <w:spacing w:line="300" w:lineRule="auto"/>
        <w:ind w:firstLine="420" w:firstLineChars="200"/>
        <w:rPr>
          <w:rFonts w:ascii="宋体" w:hAnsi="宋体"/>
          <w:color w:val="auto"/>
          <w:szCs w:val="21"/>
        </w:rPr>
      </w:pPr>
      <w:r>
        <w:rPr>
          <w:rFonts w:hint="eastAsia" w:ascii="宋体" w:hAnsi="宋体"/>
          <w:color w:val="auto"/>
          <w:szCs w:val="21"/>
        </w:rPr>
        <w:t>本授权书于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日签字生效，特此声明。</w:t>
      </w:r>
    </w:p>
    <w:p w14:paraId="0BC3EA37">
      <w:pPr>
        <w:spacing w:line="300" w:lineRule="auto"/>
        <w:ind w:firstLine="420" w:firstLineChars="200"/>
        <w:rPr>
          <w:rFonts w:ascii="宋体" w:hAnsi="宋体"/>
          <w:color w:val="auto"/>
          <w:szCs w:val="21"/>
        </w:rPr>
      </w:pPr>
    </w:p>
    <w:p w14:paraId="661FF768">
      <w:pPr>
        <w:pStyle w:val="18"/>
        <w:spacing w:line="300" w:lineRule="auto"/>
        <w:jc w:val="center"/>
        <w:rPr>
          <w:rFonts w:hAnsi="宋体"/>
          <w:b/>
          <w:color w:val="auto"/>
          <w:szCs w:val="21"/>
        </w:rPr>
      </w:pPr>
      <w:r>
        <w:rPr>
          <w:rFonts w:hint="eastAsia" w:hAnsi="宋体"/>
          <w:b/>
          <w:color w:val="auto"/>
          <w:szCs w:val="21"/>
        </w:rPr>
        <w:t>法定代表人</w:t>
      </w:r>
    </w:p>
    <w:p w14:paraId="68A64328">
      <w:pPr>
        <w:spacing w:line="300" w:lineRule="auto"/>
        <w:ind w:firstLine="422" w:firstLineChars="200"/>
        <w:jc w:val="center"/>
        <w:rPr>
          <w:rFonts w:ascii="宋体" w:hAnsi="宋体"/>
          <w:color w:val="auto"/>
          <w:szCs w:val="21"/>
        </w:rPr>
      </w:pPr>
      <w:r>
        <w:rPr>
          <w:rFonts w:hint="eastAsia" w:hAnsi="宋体"/>
          <w:b/>
          <w:color w:val="auto"/>
          <w:szCs w:val="21"/>
        </w:rPr>
        <w:t>居民身份证正反面复印件粘贴处</w:t>
      </w:r>
    </w:p>
    <w:p w14:paraId="451BAD53">
      <w:pPr>
        <w:spacing w:line="300" w:lineRule="auto"/>
        <w:ind w:firstLine="420" w:firstLineChars="200"/>
        <w:rPr>
          <w:rFonts w:ascii="宋体" w:hAnsi="宋体"/>
          <w:color w:val="auto"/>
          <w:szCs w:val="21"/>
        </w:rPr>
      </w:pPr>
    </w:p>
    <w:p w14:paraId="7D2F9150">
      <w:pPr>
        <w:spacing w:line="300" w:lineRule="auto"/>
        <w:ind w:firstLine="420" w:firstLineChars="200"/>
        <w:rPr>
          <w:rFonts w:ascii="宋体" w:hAnsi="宋体"/>
          <w:color w:val="auto"/>
          <w:szCs w:val="21"/>
        </w:rPr>
      </w:pPr>
    </w:p>
    <w:p w14:paraId="2F3B5397">
      <w:pPr>
        <w:spacing w:line="300" w:lineRule="auto"/>
        <w:ind w:firstLine="420" w:firstLineChars="200"/>
        <w:rPr>
          <w:rFonts w:ascii="宋体" w:hAnsi="宋体"/>
          <w:color w:val="auto"/>
          <w:szCs w:val="21"/>
        </w:rPr>
      </w:pPr>
    </w:p>
    <w:p w14:paraId="75860B2D">
      <w:pPr>
        <w:pStyle w:val="18"/>
        <w:spacing w:line="300" w:lineRule="auto"/>
        <w:jc w:val="center"/>
        <w:rPr>
          <w:rFonts w:hAnsi="宋体"/>
          <w:b/>
          <w:color w:val="auto"/>
          <w:szCs w:val="21"/>
        </w:rPr>
      </w:pPr>
      <w:r>
        <w:rPr>
          <w:rFonts w:hint="eastAsia" w:hAnsi="宋体"/>
          <w:b/>
          <w:color w:val="auto"/>
          <w:szCs w:val="21"/>
        </w:rPr>
        <w:t>被授权人(供应商授权代表)</w:t>
      </w:r>
    </w:p>
    <w:p w14:paraId="3B62975D">
      <w:pPr>
        <w:spacing w:line="300" w:lineRule="auto"/>
        <w:ind w:firstLine="422" w:firstLineChars="200"/>
        <w:jc w:val="center"/>
        <w:rPr>
          <w:rFonts w:ascii="宋体" w:hAnsi="宋体"/>
          <w:color w:val="auto"/>
          <w:szCs w:val="21"/>
        </w:rPr>
      </w:pPr>
      <w:r>
        <w:rPr>
          <w:rFonts w:hint="eastAsia" w:hAnsi="宋体"/>
          <w:b/>
          <w:color w:val="auto"/>
          <w:szCs w:val="21"/>
        </w:rPr>
        <w:t>居民身份证正反面复印件粘贴处</w:t>
      </w:r>
    </w:p>
    <w:p w14:paraId="585ED441">
      <w:pPr>
        <w:spacing w:line="300" w:lineRule="auto"/>
        <w:ind w:firstLine="105" w:firstLineChars="50"/>
        <w:rPr>
          <w:rFonts w:ascii="宋体" w:hAnsi="宋体"/>
          <w:color w:val="auto"/>
          <w:szCs w:val="21"/>
        </w:rPr>
      </w:pPr>
    </w:p>
    <w:p w14:paraId="43BAB943">
      <w:pPr>
        <w:spacing w:line="300" w:lineRule="auto"/>
        <w:ind w:firstLine="105" w:firstLineChars="50"/>
        <w:rPr>
          <w:rFonts w:ascii="宋体" w:hAnsi="宋体"/>
          <w:color w:val="auto"/>
          <w:szCs w:val="21"/>
        </w:rPr>
      </w:pPr>
    </w:p>
    <w:p w14:paraId="285E7F92">
      <w:pPr>
        <w:spacing w:line="300" w:lineRule="auto"/>
        <w:rPr>
          <w:rFonts w:ascii="宋体" w:hAnsi="宋体"/>
          <w:color w:val="auto"/>
          <w:szCs w:val="21"/>
        </w:rPr>
      </w:pPr>
      <w:r>
        <w:rPr>
          <w:rFonts w:hint="eastAsia" w:ascii="宋体" w:hAnsi="宋体"/>
          <w:color w:val="auto"/>
          <w:szCs w:val="21"/>
        </w:rPr>
        <w:t>供应商全称（加盖公章）：                     地       址：</w:t>
      </w:r>
    </w:p>
    <w:p w14:paraId="021226F3">
      <w:pPr>
        <w:rPr>
          <w:rFonts w:ascii="宋体" w:hAnsi="宋体"/>
          <w:color w:val="auto"/>
          <w:szCs w:val="21"/>
        </w:rPr>
      </w:pPr>
      <w:r>
        <w:rPr>
          <w:rFonts w:hint="eastAsia" w:ascii="宋体" w:hAnsi="宋体"/>
          <w:color w:val="auto"/>
          <w:szCs w:val="21"/>
        </w:rPr>
        <w:t>法定代表人（签字或签章）：                   被授权人(供应商授权代表)（签字）：</w:t>
      </w:r>
    </w:p>
    <w:p w14:paraId="63AB9A52">
      <w:pPr>
        <w:rPr>
          <w:rFonts w:ascii="宋体" w:hAnsi="宋体"/>
          <w:color w:val="auto"/>
          <w:szCs w:val="21"/>
        </w:rPr>
      </w:pPr>
    </w:p>
    <w:p w14:paraId="3452F88A">
      <w:pPr>
        <w:pStyle w:val="5"/>
        <w:rPr>
          <w:color w:val="auto"/>
        </w:rPr>
      </w:pPr>
      <w:r>
        <w:rPr>
          <w:rFonts w:hint="eastAsia"/>
          <w:color w:val="auto"/>
        </w:rPr>
        <w:t>格式7               实质性条款响应一览表</w:t>
      </w:r>
    </w:p>
    <w:p w14:paraId="410E20CB">
      <w:pPr>
        <w:spacing w:line="360" w:lineRule="auto"/>
        <w:rPr>
          <w:rFonts w:ascii="Arial Unicode MS" w:hAnsi="Arial Unicode MS" w:eastAsia="Arial Unicode MS" w:cs="Arial Unicode MS"/>
          <w:bCs/>
          <w:color w:val="auto"/>
          <w:szCs w:val="21"/>
        </w:rPr>
      </w:pPr>
      <w:r>
        <w:rPr>
          <w:rFonts w:hint="eastAsia" w:ascii="宋体" w:hAnsi="宋体" w:cs="Tahoma"/>
          <w:color w:val="auto"/>
          <w:szCs w:val="21"/>
        </w:rPr>
        <w:t>项目名称</w:t>
      </w:r>
      <w:r>
        <w:rPr>
          <w:rFonts w:hint="eastAsia" w:ascii="宋体" w:hAnsi="宋体" w:cs="Tahoma"/>
          <w:color w:val="auto"/>
          <w:kern w:val="28"/>
          <w:szCs w:val="21"/>
        </w:rPr>
        <w:t xml:space="preserve">：                                            </w:t>
      </w:r>
      <w:r>
        <w:rPr>
          <w:rFonts w:ascii="宋体" w:hAnsi="宋体" w:cs="Tahoma"/>
          <w:color w:val="auto"/>
          <w:szCs w:val="21"/>
        </w:rPr>
        <w:t>项目编号：</w:t>
      </w:r>
      <w:r>
        <w:rPr>
          <w:rFonts w:hint="eastAsia" w:ascii="宋体" w:hAnsi="宋体"/>
          <w:color w:val="auto"/>
          <w:szCs w:val="21"/>
        </w:rPr>
        <w:t xml:space="preserve"> </w:t>
      </w:r>
      <w:r>
        <w:rPr>
          <w:rFonts w:hint="eastAsia" w:ascii="Arial Unicode MS" w:hAnsi="Arial Unicode MS" w:eastAsia="Arial Unicode MS" w:cs="Arial Unicode MS"/>
          <w:bCs/>
          <w:color w:val="auto"/>
          <w:szCs w:val="21"/>
        </w:rPr>
        <w:t xml:space="preserve">           </w:t>
      </w:r>
      <w:r>
        <w:rPr>
          <w:rFonts w:hint="eastAsia" w:ascii="宋体" w:hAnsi="宋体"/>
          <w:bCs/>
          <w:color w:val="auto"/>
          <w:szCs w:val="21"/>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277"/>
        <w:gridCol w:w="1785"/>
        <w:gridCol w:w="1888"/>
        <w:gridCol w:w="1354"/>
      </w:tblGrid>
      <w:tr w14:paraId="70A4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871" w:type="dxa"/>
            <w:vAlign w:val="center"/>
          </w:tcPr>
          <w:p w14:paraId="5E64FA3F">
            <w:pPr>
              <w:jc w:val="center"/>
              <w:rPr>
                <w:color w:val="auto"/>
              </w:rPr>
            </w:pPr>
            <w:r>
              <w:rPr>
                <w:rFonts w:hint="eastAsia"/>
                <w:color w:val="auto"/>
              </w:rPr>
              <w:t>序号</w:t>
            </w:r>
          </w:p>
        </w:tc>
        <w:tc>
          <w:tcPr>
            <w:tcW w:w="3277" w:type="dxa"/>
            <w:tcBorders>
              <w:left w:val="single" w:color="000000" w:sz="4" w:space="0"/>
            </w:tcBorders>
            <w:vAlign w:val="center"/>
          </w:tcPr>
          <w:p w14:paraId="3B75BB3C">
            <w:pPr>
              <w:rPr>
                <w:color w:val="auto"/>
              </w:rPr>
            </w:pPr>
            <w:r>
              <w:rPr>
                <w:rFonts w:hint="eastAsia"/>
                <w:color w:val="auto"/>
              </w:rPr>
              <w:t>带“★”号响应内容</w:t>
            </w:r>
          </w:p>
        </w:tc>
        <w:tc>
          <w:tcPr>
            <w:tcW w:w="1785" w:type="dxa"/>
            <w:vAlign w:val="center"/>
          </w:tcPr>
          <w:p w14:paraId="158B60BB">
            <w:pPr>
              <w:rPr>
                <w:color w:val="auto"/>
              </w:rPr>
            </w:pPr>
            <w:r>
              <w:rPr>
                <w:rFonts w:hint="eastAsia"/>
                <w:color w:val="auto"/>
              </w:rPr>
              <w:t>是否响应</w:t>
            </w:r>
          </w:p>
        </w:tc>
        <w:tc>
          <w:tcPr>
            <w:tcW w:w="1888" w:type="dxa"/>
            <w:vAlign w:val="center"/>
          </w:tcPr>
          <w:p w14:paraId="12C02D51">
            <w:pPr>
              <w:rPr>
                <w:color w:val="auto"/>
              </w:rPr>
            </w:pPr>
            <w:r>
              <w:rPr>
                <w:rFonts w:hint="eastAsia"/>
                <w:color w:val="auto"/>
              </w:rPr>
              <w:t>偏离说明</w:t>
            </w:r>
          </w:p>
        </w:tc>
        <w:tc>
          <w:tcPr>
            <w:tcW w:w="1354" w:type="dxa"/>
            <w:vAlign w:val="center"/>
          </w:tcPr>
          <w:p w14:paraId="7A7A987A">
            <w:pPr>
              <w:rPr>
                <w:color w:val="auto"/>
              </w:rPr>
            </w:pPr>
            <w:r>
              <w:rPr>
                <w:rFonts w:hint="eastAsia"/>
                <w:color w:val="auto"/>
              </w:rPr>
              <w:t>响应页码</w:t>
            </w:r>
          </w:p>
        </w:tc>
      </w:tr>
      <w:tr w14:paraId="51D0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1" w:type="dxa"/>
            <w:vAlign w:val="center"/>
          </w:tcPr>
          <w:p w14:paraId="1D63A5B4">
            <w:pPr>
              <w:jc w:val="center"/>
              <w:rPr>
                <w:color w:val="auto"/>
              </w:rPr>
            </w:pPr>
            <w:r>
              <w:rPr>
                <w:rFonts w:hint="eastAsia"/>
                <w:color w:val="auto"/>
              </w:rPr>
              <w:t>1</w:t>
            </w:r>
          </w:p>
        </w:tc>
        <w:tc>
          <w:tcPr>
            <w:tcW w:w="3277" w:type="dxa"/>
            <w:tcBorders>
              <w:left w:val="single" w:color="000000" w:sz="4" w:space="0"/>
            </w:tcBorders>
            <w:vAlign w:val="center"/>
          </w:tcPr>
          <w:p w14:paraId="4E21A935">
            <w:pPr>
              <w:spacing w:line="240" w:lineRule="exact"/>
              <w:rPr>
                <w:color w:val="auto"/>
              </w:rPr>
            </w:pPr>
            <w:r>
              <w:rPr>
                <w:rFonts w:hint="eastAsia"/>
                <w:color w:val="auto"/>
                <w:szCs w:val="22"/>
              </w:rPr>
              <w:t>合格响应供应商资格要求</w:t>
            </w:r>
          </w:p>
        </w:tc>
        <w:tc>
          <w:tcPr>
            <w:tcW w:w="1785" w:type="dxa"/>
          </w:tcPr>
          <w:p w14:paraId="22DA5F6F">
            <w:pPr>
              <w:rPr>
                <w:color w:val="auto"/>
              </w:rPr>
            </w:pPr>
          </w:p>
        </w:tc>
        <w:tc>
          <w:tcPr>
            <w:tcW w:w="1888" w:type="dxa"/>
          </w:tcPr>
          <w:p w14:paraId="2CD7A688">
            <w:pPr>
              <w:rPr>
                <w:color w:val="auto"/>
              </w:rPr>
            </w:pPr>
          </w:p>
        </w:tc>
        <w:tc>
          <w:tcPr>
            <w:tcW w:w="1354" w:type="dxa"/>
          </w:tcPr>
          <w:p w14:paraId="1F815823">
            <w:pPr>
              <w:rPr>
                <w:color w:val="auto"/>
              </w:rPr>
            </w:pPr>
          </w:p>
        </w:tc>
      </w:tr>
      <w:tr w14:paraId="2A49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71" w:type="dxa"/>
            <w:vAlign w:val="center"/>
          </w:tcPr>
          <w:p w14:paraId="0A21416A">
            <w:pPr>
              <w:jc w:val="center"/>
              <w:rPr>
                <w:color w:val="auto"/>
              </w:rPr>
            </w:pPr>
            <w:r>
              <w:rPr>
                <w:rFonts w:hint="eastAsia"/>
                <w:color w:val="auto"/>
              </w:rPr>
              <w:t>2</w:t>
            </w:r>
          </w:p>
        </w:tc>
        <w:tc>
          <w:tcPr>
            <w:tcW w:w="3277" w:type="dxa"/>
            <w:tcBorders>
              <w:left w:val="single" w:color="000000" w:sz="4" w:space="0"/>
            </w:tcBorders>
            <w:vAlign w:val="center"/>
          </w:tcPr>
          <w:p w14:paraId="0D86BEBE">
            <w:pPr>
              <w:spacing w:line="240" w:lineRule="exact"/>
              <w:rPr>
                <w:color w:val="auto"/>
              </w:rPr>
            </w:pPr>
            <w:r>
              <w:rPr>
                <w:rFonts w:hint="eastAsia"/>
                <w:color w:val="auto"/>
                <w:szCs w:val="22"/>
              </w:rPr>
              <w:t>报价文件格式带“★”内容</w:t>
            </w:r>
          </w:p>
        </w:tc>
        <w:tc>
          <w:tcPr>
            <w:tcW w:w="1785" w:type="dxa"/>
          </w:tcPr>
          <w:p w14:paraId="3FC97097">
            <w:pPr>
              <w:rPr>
                <w:color w:val="auto"/>
              </w:rPr>
            </w:pPr>
          </w:p>
        </w:tc>
        <w:tc>
          <w:tcPr>
            <w:tcW w:w="1888" w:type="dxa"/>
          </w:tcPr>
          <w:p w14:paraId="77A079D9">
            <w:pPr>
              <w:rPr>
                <w:color w:val="auto"/>
              </w:rPr>
            </w:pPr>
          </w:p>
        </w:tc>
        <w:tc>
          <w:tcPr>
            <w:tcW w:w="1354" w:type="dxa"/>
          </w:tcPr>
          <w:p w14:paraId="0662FD90">
            <w:pPr>
              <w:rPr>
                <w:color w:val="auto"/>
              </w:rPr>
            </w:pPr>
          </w:p>
        </w:tc>
      </w:tr>
      <w:tr w14:paraId="01E6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71" w:type="dxa"/>
            <w:vAlign w:val="center"/>
          </w:tcPr>
          <w:p w14:paraId="4050B21F">
            <w:pPr>
              <w:jc w:val="center"/>
              <w:rPr>
                <w:color w:val="auto"/>
              </w:rPr>
            </w:pPr>
            <w:r>
              <w:rPr>
                <w:rFonts w:hint="eastAsia"/>
                <w:color w:val="auto"/>
              </w:rPr>
              <w:t>3</w:t>
            </w:r>
          </w:p>
        </w:tc>
        <w:tc>
          <w:tcPr>
            <w:tcW w:w="3277" w:type="dxa"/>
            <w:tcBorders>
              <w:left w:val="single" w:color="000000" w:sz="4" w:space="0"/>
            </w:tcBorders>
          </w:tcPr>
          <w:p w14:paraId="005A1AE3">
            <w:pPr>
              <w:spacing w:line="240" w:lineRule="exact"/>
              <w:rPr>
                <w:color w:val="auto"/>
              </w:rPr>
            </w:pPr>
            <w:r>
              <w:rPr>
                <w:rFonts w:hint="eastAsia"/>
                <w:color w:val="auto"/>
                <w:szCs w:val="22"/>
              </w:rPr>
              <w:t>第一次报价超出最高限价的将被视为无效报价，不能参加磋商。</w:t>
            </w:r>
          </w:p>
        </w:tc>
        <w:tc>
          <w:tcPr>
            <w:tcW w:w="1785" w:type="dxa"/>
          </w:tcPr>
          <w:p w14:paraId="08CD1C66">
            <w:pPr>
              <w:rPr>
                <w:color w:val="auto"/>
              </w:rPr>
            </w:pPr>
          </w:p>
        </w:tc>
        <w:tc>
          <w:tcPr>
            <w:tcW w:w="1888" w:type="dxa"/>
          </w:tcPr>
          <w:p w14:paraId="12051F69">
            <w:pPr>
              <w:rPr>
                <w:color w:val="auto"/>
              </w:rPr>
            </w:pPr>
          </w:p>
        </w:tc>
        <w:tc>
          <w:tcPr>
            <w:tcW w:w="1354" w:type="dxa"/>
          </w:tcPr>
          <w:p w14:paraId="52C82574">
            <w:pPr>
              <w:rPr>
                <w:color w:val="auto"/>
              </w:rPr>
            </w:pPr>
          </w:p>
        </w:tc>
      </w:tr>
      <w:tr w14:paraId="15F8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71" w:type="dxa"/>
            <w:vAlign w:val="center"/>
          </w:tcPr>
          <w:p w14:paraId="06D977E3">
            <w:pPr>
              <w:jc w:val="center"/>
              <w:rPr>
                <w:rFonts w:ascii="宋体" w:hAnsi="宋体" w:cs="宋体"/>
                <w:color w:val="auto"/>
              </w:rPr>
            </w:pPr>
            <w:r>
              <w:rPr>
                <w:rFonts w:hint="eastAsia" w:ascii="宋体" w:hAnsi="宋体" w:cs="宋体"/>
                <w:color w:val="auto"/>
              </w:rPr>
              <w:t>...</w:t>
            </w:r>
          </w:p>
        </w:tc>
        <w:tc>
          <w:tcPr>
            <w:tcW w:w="3277" w:type="dxa"/>
            <w:tcBorders>
              <w:left w:val="single" w:color="000000" w:sz="4" w:space="0"/>
            </w:tcBorders>
          </w:tcPr>
          <w:p w14:paraId="6CA4208A">
            <w:pPr>
              <w:spacing w:line="240" w:lineRule="exact"/>
              <w:rPr>
                <w:color w:val="auto"/>
                <w:szCs w:val="22"/>
              </w:rPr>
            </w:pPr>
          </w:p>
        </w:tc>
        <w:tc>
          <w:tcPr>
            <w:tcW w:w="1785" w:type="dxa"/>
          </w:tcPr>
          <w:p w14:paraId="6DBA5F8A">
            <w:pPr>
              <w:rPr>
                <w:color w:val="auto"/>
              </w:rPr>
            </w:pPr>
          </w:p>
        </w:tc>
        <w:tc>
          <w:tcPr>
            <w:tcW w:w="1888" w:type="dxa"/>
          </w:tcPr>
          <w:p w14:paraId="3F758C50">
            <w:pPr>
              <w:rPr>
                <w:color w:val="auto"/>
              </w:rPr>
            </w:pPr>
          </w:p>
        </w:tc>
        <w:tc>
          <w:tcPr>
            <w:tcW w:w="1354" w:type="dxa"/>
          </w:tcPr>
          <w:p w14:paraId="589A8632">
            <w:pPr>
              <w:rPr>
                <w:color w:val="auto"/>
              </w:rPr>
            </w:pPr>
          </w:p>
        </w:tc>
      </w:tr>
    </w:tbl>
    <w:p w14:paraId="228E8B10">
      <w:pPr>
        <w:rPr>
          <w:rFonts w:ascii="宋体" w:hAnsi="宋体"/>
          <w:b/>
          <w:bCs/>
          <w:color w:val="auto"/>
          <w:szCs w:val="21"/>
        </w:rPr>
      </w:pPr>
      <w:r>
        <w:rPr>
          <w:rFonts w:hint="eastAsia" w:ascii="宋体" w:hAnsi="宋体"/>
          <w:b/>
          <w:bCs/>
          <w:color w:val="auto"/>
          <w:szCs w:val="21"/>
        </w:rPr>
        <w:t>说明：1、供应商应对应磋商文件的 “★”号条款逐条应答并按要求填写上表。</w:t>
      </w:r>
    </w:p>
    <w:p w14:paraId="0ACC67CE">
      <w:pPr>
        <w:ind w:left="510" w:leftChars="243" w:firstLine="103" w:firstLineChars="49"/>
        <w:rPr>
          <w:rFonts w:ascii="宋体" w:hAnsi="宋体"/>
          <w:b/>
          <w:bCs/>
          <w:color w:val="auto"/>
          <w:szCs w:val="21"/>
        </w:rPr>
      </w:pPr>
      <w:r>
        <w:rPr>
          <w:rFonts w:hint="eastAsia" w:ascii="宋体" w:hAnsi="宋体"/>
          <w:b/>
          <w:bCs/>
          <w:color w:val="auto"/>
          <w:szCs w:val="21"/>
        </w:rPr>
        <w:t>2、对完全响应的条目在下表相应列成交注“○”。对有偏离的条目在下表相应列成交注“×”，并简述偏离内容。</w:t>
      </w:r>
    </w:p>
    <w:p w14:paraId="0EB71B61">
      <w:pPr>
        <w:spacing w:line="400" w:lineRule="exact"/>
        <w:rPr>
          <w:rFonts w:ascii="宋体" w:hAnsi="宋体"/>
          <w:bCs/>
          <w:color w:val="auto"/>
          <w:szCs w:val="21"/>
        </w:rPr>
      </w:pPr>
      <w:r>
        <w:rPr>
          <w:rFonts w:hint="eastAsia" w:ascii="宋体" w:hAnsi="宋体"/>
          <w:bCs/>
          <w:color w:val="auto"/>
          <w:szCs w:val="21"/>
        </w:rPr>
        <w:t>供应商全称（加盖公章）：</w:t>
      </w:r>
    </w:p>
    <w:p w14:paraId="1F276171">
      <w:pPr>
        <w:spacing w:line="300" w:lineRule="auto"/>
        <w:rPr>
          <w:rFonts w:ascii="宋体" w:hAnsi="宋体"/>
          <w:color w:val="auto"/>
          <w:szCs w:val="21"/>
          <w:u w:val="single"/>
        </w:rPr>
      </w:pPr>
      <w:r>
        <w:rPr>
          <w:rFonts w:hint="eastAsia" w:ascii="宋体" w:hAnsi="宋体"/>
          <w:bCs/>
          <w:color w:val="auto"/>
          <w:szCs w:val="21"/>
        </w:rPr>
        <w:t>法定代表人或其供应商授权代表(签字)：               日    期：     年   月   日</w:t>
      </w:r>
    </w:p>
    <w:p w14:paraId="5F43623F">
      <w:pPr>
        <w:pStyle w:val="18"/>
        <w:spacing w:line="300" w:lineRule="auto"/>
        <w:outlineLvl w:val="0"/>
        <w:rPr>
          <w:b/>
          <w:color w:val="auto"/>
          <w:szCs w:val="21"/>
        </w:rPr>
      </w:pPr>
      <w:r>
        <w:rPr>
          <w:b/>
          <w:color w:val="auto"/>
          <w:szCs w:val="21"/>
        </w:rPr>
        <w:br w:type="page"/>
      </w:r>
    </w:p>
    <w:p w14:paraId="28675572">
      <w:pPr>
        <w:pStyle w:val="3"/>
        <w:spacing w:line="240" w:lineRule="auto"/>
        <w:ind w:left="57" w:hanging="238"/>
        <w:rPr>
          <w:color w:val="auto"/>
          <w:sz w:val="32"/>
        </w:rPr>
      </w:pPr>
      <w:r>
        <w:rPr>
          <w:rFonts w:hint="eastAsia"/>
          <w:color w:val="auto"/>
          <w:sz w:val="32"/>
        </w:rPr>
        <w:t>三、商务响应文件</w:t>
      </w:r>
      <w:bookmarkEnd w:id="137"/>
      <w:bookmarkEnd w:id="138"/>
      <w:bookmarkEnd w:id="139"/>
    </w:p>
    <w:p w14:paraId="4023C3E1">
      <w:pPr>
        <w:pStyle w:val="5"/>
        <w:rPr>
          <w:color w:val="auto"/>
        </w:rPr>
      </w:pPr>
      <w:r>
        <w:rPr>
          <w:rFonts w:hint="eastAsia"/>
          <w:color w:val="auto"/>
        </w:rPr>
        <w:t>1、响应供应商简介（格式自拟）</w:t>
      </w:r>
    </w:p>
    <w:p w14:paraId="345EDF3F">
      <w:pPr>
        <w:pStyle w:val="2"/>
        <w:spacing w:line="480" w:lineRule="exact"/>
        <w:rPr>
          <w:rFonts w:ascii="Arial" w:hAnsi="Arial" w:cs="Arial"/>
          <w:color w:val="auto"/>
          <w:sz w:val="28"/>
          <w:szCs w:val="28"/>
        </w:rPr>
      </w:pPr>
      <w:r>
        <w:rPr>
          <w:rFonts w:hint="eastAsia" w:ascii="宋体" w:hAnsi="宋体"/>
          <w:color w:val="auto"/>
          <w:kern w:val="2"/>
          <w:sz w:val="28"/>
          <w:szCs w:val="28"/>
        </w:rPr>
        <w:t>格式8</w:t>
      </w:r>
      <w:r>
        <w:rPr>
          <w:rFonts w:hint="eastAsia" w:ascii="Arial" w:hAnsi="Arial" w:cs="Arial"/>
          <w:color w:val="auto"/>
          <w:sz w:val="28"/>
          <w:szCs w:val="28"/>
        </w:rPr>
        <w:t xml:space="preserve">                </w:t>
      </w:r>
      <w:r>
        <w:rPr>
          <w:rFonts w:ascii="Arial" w:hAnsi="Arial" w:cs="Arial"/>
          <w:color w:val="auto"/>
          <w:sz w:val="28"/>
          <w:szCs w:val="28"/>
        </w:rPr>
        <w:t>同意</w:t>
      </w:r>
      <w:r>
        <w:rPr>
          <w:rFonts w:hint="eastAsia" w:ascii="Arial" w:hAnsi="Arial" w:cs="Arial"/>
          <w:color w:val="auto"/>
          <w:sz w:val="28"/>
          <w:szCs w:val="28"/>
        </w:rPr>
        <w:t>磋商文件</w:t>
      </w:r>
      <w:r>
        <w:rPr>
          <w:rFonts w:ascii="Arial" w:hAnsi="Arial" w:cs="Arial"/>
          <w:color w:val="auto"/>
          <w:sz w:val="28"/>
          <w:szCs w:val="28"/>
        </w:rPr>
        <w:t>条款说明</w:t>
      </w:r>
    </w:p>
    <w:p w14:paraId="69C69FF8">
      <w:pPr>
        <w:spacing w:line="300" w:lineRule="auto"/>
        <w:rPr>
          <w:rFonts w:hint="eastAsia" w:ascii="Arial" w:hAnsi="Arial" w:eastAsia="宋体" w:cs="Arial"/>
          <w:color w:val="auto"/>
          <w:szCs w:val="21"/>
          <w:lang w:eastAsia="zh-CN"/>
        </w:rPr>
      </w:pPr>
      <w:r>
        <w:rPr>
          <w:rFonts w:ascii="宋体" w:hAnsi="宋体" w:cs="宋体"/>
          <w:color w:val="auto"/>
          <w:szCs w:val="21"/>
        </w:rPr>
        <w:t>致：</w:t>
      </w:r>
      <w:r>
        <w:rPr>
          <w:rFonts w:hint="eastAsia" w:ascii="宋体" w:hAnsi="宋体" w:cs="宋体"/>
          <w:color w:val="auto"/>
          <w:szCs w:val="21"/>
          <w:lang w:eastAsia="zh-CN"/>
        </w:rPr>
        <w:t>广州群生招标代理有限公司韶关分公司</w:t>
      </w:r>
    </w:p>
    <w:p w14:paraId="511048B6">
      <w:pPr>
        <w:spacing w:line="300" w:lineRule="auto"/>
        <w:ind w:firstLine="478" w:firstLineChars="228"/>
        <w:rPr>
          <w:rFonts w:ascii="Arial" w:hAnsi="Arial" w:cs="Arial"/>
          <w:color w:val="auto"/>
          <w:szCs w:val="21"/>
        </w:rPr>
      </w:pPr>
      <w:r>
        <w:rPr>
          <w:rFonts w:ascii="宋体" w:hAnsi="宋体" w:cs="宋体"/>
          <w:color w:val="auto"/>
          <w:szCs w:val="21"/>
        </w:rPr>
        <w:t>为响应你方组织的</w:t>
      </w:r>
      <w:r>
        <w:rPr>
          <w:rFonts w:hint="eastAsia" w:ascii="宋体" w:hAnsi="宋体" w:cs="宋体"/>
          <w:color w:val="auto"/>
          <w:szCs w:val="21"/>
        </w:rPr>
        <w:t>项目名称：</w:t>
      </w:r>
      <w:r>
        <w:rPr>
          <w:rFonts w:hint="eastAsia" w:ascii="Arial" w:hAnsi="Arial" w:cs="Arial"/>
          <w:color w:val="auto"/>
          <w:kern w:val="28"/>
          <w:szCs w:val="21"/>
          <w:u w:val="single"/>
        </w:rPr>
        <w:t xml:space="preserve">                   </w:t>
      </w:r>
      <w:r>
        <w:rPr>
          <w:rFonts w:ascii="宋体" w:hAnsi="宋体" w:cs="宋体"/>
          <w:color w:val="auto"/>
          <w:szCs w:val="21"/>
        </w:rPr>
        <w:t>项目的招标【招标编号：</w:t>
      </w:r>
      <w:r>
        <w:rPr>
          <w:rFonts w:hint="eastAsia" w:ascii="Arial" w:hAnsi="Arial" w:cs="Arial"/>
          <w:color w:val="auto"/>
          <w:kern w:val="28"/>
          <w:szCs w:val="21"/>
          <w:u w:val="single"/>
        </w:rPr>
        <w:t xml:space="preserve">                       </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rPr>
        <w:t>我方在参与投标前已详细研究了</w:t>
      </w:r>
      <w:r>
        <w:rPr>
          <w:rFonts w:hint="eastAsia" w:ascii="宋体" w:hAnsi="宋体" w:cs="宋体"/>
          <w:color w:val="auto"/>
          <w:szCs w:val="21"/>
        </w:rPr>
        <w:t>磋商文件</w:t>
      </w:r>
      <w:r>
        <w:rPr>
          <w:rFonts w:ascii="宋体" w:hAnsi="宋体" w:cs="宋体"/>
          <w:color w:val="auto"/>
          <w:szCs w:val="21"/>
        </w:rPr>
        <w:t>的所有内容，包括修改文件（如果有的话）和所有已提供的参考资料以及有关附件，我方完全明白并认为此</w:t>
      </w:r>
      <w:r>
        <w:rPr>
          <w:rFonts w:hint="eastAsia" w:ascii="宋体" w:hAnsi="宋体" w:cs="宋体"/>
          <w:color w:val="auto"/>
          <w:szCs w:val="21"/>
        </w:rPr>
        <w:t>磋商文件</w:t>
      </w:r>
      <w:r>
        <w:rPr>
          <w:rFonts w:ascii="宋体" w:hAnsi="宋体" w:cs="宋体"/>
          <w:color w:val="auto"/>
          <w:szCs w:val="21"/>
        </w:rPr>
        <w:t>没有倾向性，也没有存在排斥潜在</w:t>
      </w:r>
      <w:r>
        <w:rPr>
          <w:rFonts w:hint="eastAsia" w:ascii="宋体" w:hAnsi="宋体" w:cs="宋体"/>
          <w:color w:val="auto"/>
          <w:szCs w:val="21"/>
        </w:rPr>
        <w:t>供应商</w:t>
      </w:r>
      <w:r>
        <w:rPr>
          <w:rFonts w:ascii="宋体" w:hAnsi="宋体" w:cs="宋体"/>
          <w:color w:val="auto"/>
          <w:szCs w:val="21"/>
        </w:rPr>
        <w:t>的内容，我方并同意</w:t>
      </w:r>
      <w:r>
        <w:rPr>
          <w:rFonts w:hint="eastAsia" w:ascii="宋体" w:hAnsi="宋体" w:cs="宋体"/>
          <w:color w:val="auto"/>
          <w:szCs w:val="21"/>
        </w:rPr>
        <w:t>磋商文件</w:t>
      </w:r>
      <w:r>
        <w:rPr>
          <w:rFonts w:ascii="宋体" w:hAnsi="宋体" w:cs="宋体"/>
          <w:color w:val="auto"/>
          <w:szCs w:val="21"/>
        </w:rPr>
        <w:t>的相关条款。</w:t>
      </w:r>
    </w:p>
    <w:p w14:paraId="46029408">
      <w:pPr>
        <w:spacing w:line="300" w:lineRule="auto"/>
        <w:ind w:firstLine="478" w:firstLineChars="228"/>
        <w:rPr>
          <w:rFonts w:ascii="宋体" w:hAnsi="宋体" w:cs="宋体"/>
          <w:color w:val="auto"/>
          <w:szCs w:val="21"/>
        </w:rPr>
      </w:pPr>
      <w:r>
        <w:rPr>
          <w:rFonts w:ascii="宋体" w:hAnsi="宋体" w:cs="宋体"/>
          <w:color w:val="auto"/>
          <w:szCs w:val="21"/>
        </w:rPr>
        <w:t>特此声明。</w:t>
      </w:r>
    </w:p>
    <w:p w14:paraId="07374934">
      <w:pPr>
        <w:spacing w:line="300" w:lineRule="auto"/>
        <w:rPr>
          <w:rFonts w:ascii="宋体" w:hAnsi="宋体"/>
          <w:bCs/>
          <w:color w:val="auto"/>
          <w:szCs w:val="21"/>
        </w:rPr>
      </w:pPr>
      <w:r>
        <w:rPr>
          <w:rFonts w:hint="eastAsia" w:ascii="宋体" w:hAnsi="宋体"/>
          <w:bCs/>
          <w:color w:val="auto"/>
          <w:szCs w:val="21"/>
        </w:rPr>
        <w:t>供应商全称（加盖公章）：</w:t>
      </w:r>
    </w:p>
    <w:p w14:paraId="583111B8">
      <w:pPr>
        <w:spacing w:line="300" w:lineRule="auto"/>
        <w:rPr>
          <w:rFonts w:ascii="宋体" w:hAnsi="宋体"/>
          <w:color w:val="auto"/>
          <w:szCs w:val="21"/>
        </w:rPr>
      </w:pPr>
      <w:r>
        <w:rPr>
          <w:rFonts w:hint="eastAsia" w:ascii="宋体" w:hAnsi="宋体"/>
          <w:bCs/>
          <w:color w:val="auto"/>
          <w:szCs w:val="21"/>
        </w:rPr>
        <w:t>法定代表人或其供应商授权代表(</w:t>
      </w:r>
      <w:r>
        <w:rPr>
          <w:rFonts w:hint="eastAsia" w:ascii="宋体" w:hAnsi="宋体"/>
          <w:color w:val="auto"/>
          <w:szCs w:val="21"/>
        </w:rPr>
        <w:t>签字</w:t>
      </w:r>
      <w:r>
        <w:rPr>
          <w:rFonts w:hint="eastAsia" w:ascii="宋体" w:hAnsi="宋体"/>
          <w:bCs/>
          <w:color w:val="auto"/>
          <w:szCs w:val="21"/>
        </w:rPr>
        <w:t>)：</w:t>
      </w:r>
      <w:r>
        <w:rPr>
          <w:rFonts w:hint="eastAsia" w:ascii="宋体" w:hAnsi="宋体"/>
          <w:color w:val="auto"/>
          <w:szCs w:val="21"/>
        </w:rPr>
        <w:t xml:space="preserve">                日    期：     年   月   日</w:t>
      </w:r>
    </w:p>
    <w:p w14:paraId="2C789323">
      <w:pPr>
        <w:pStyle w:val="5"/>
        <w:rPr>
          <w:color w:val="auto"/>
        </w:rPr>
      </w:pPr>
      <w:r>
        <w:rPr>
          <w:rFonts w:hint="eastAsia"/>
          <w:color w:val="auto"/>
        </w:rPr>
        <w:t>格式9            同类项目业绩情况一览表</w:t>
      </w:r>
    </w:p>
    <w:p w14:paraId="1C92DED6">
      <w:pPr>
        <w:spacing w:line="300" w:lineRule="auto"/>
        <w:rPr>
          <w:rFonts w:ascii="宋体" w:hAnsi="宋体" w:cs="Arial Unicode MS"/>
          <w:bCs/>
          <w:color w:val="auto"/>
          <w:szCs w:val="21"/>
        </w:rPr>
      </w:pPr>
      <w:r>
        <w:rPr>
          <w:rFonts w:hint="eastAsia" w:ascii="宋体" w:hAnsi="宋体" w:cs="Tahoma"/>
          <w:color w:val="auto"/>
          <w:szCs w:val="21"/>
        </w:rPr>
        <w:t>项目名称</w:t>
      </w:r>
      <w:r>
        <w:rPr>
          <w:rFonts w:hint="eastAsia" w:ascii="宋体" w:hAnsi="宋体" w:cs="Tahoma"/>
          <w:color w:val="auto"/>
          <w:kern w:val="28"/>
          <w:szCs w:val="21"/>
        </w:rPr>
        <w:t xml:space="preserve">：                                              </w:t>
      </w:r>
      <w:r>
        <w:rPr>
          <w:rFonts w:ascii="宋体" w:hAnsi="宋体" w:cs="Tahoma"/>
          <w:color w:val="auto"/>
          <w:szCs w:val="21"/>
        </w:rPr>
        <w:t>项目编号：</w:t>
      </w:r>
      <w:r>
        <w:rPr>
          <w:rFonts w:hint="eastAsia" w:ascii="宋体" w:hAnsi="宋体"/>
          <w:color w:val="auto"/>
          <w:szCs w:val="21"/>
        </w:rPr>
        <w:t xml:space="preserve"> </w:t>
      </w:r>
      <w:r>
        <w:rPr>
          <w:rFonts w:hint="eastAsia" w:ascii="宋体" w:hAnsi="宋体" w:cs="Arial Unicode MS"/>
          <w:bCs/>
          <w:color w:val="auto"/>
          <w:szCs w:val="21"/>
        </w:rPr>
        <w:t xml:space="preserve">         </w:t>
      </w:r>
      <w:r>
        <w:rPr>
          <w:rFonts w:hint="eastAsia" w:ascii="宋体" w:hAnsi="宋体"/>
          <w:bCs/>
          <w:color w:val="auto"/>
          <w:szCs w:val="21"/>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0"/>
        <w:gridCol w:w="1260"/>
        <w:gridCol w:w="1260"/>
        <w:gridCol w:w="1620"/>
        <w:gridCol w:w="900"/>
        <w:gridCol w:w="1260"/>
        <w:gridCol w:w="1221"/>
      </w:tblGrid>
      <w:tr w14:paraId="377F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12C83EA5">
            <w:pPr>
              <w:spacing w:line="300" w:lineRule="auto"/>
              <w:jc w:val="center"/>
              <w:rPr>
                <w:rFonts w:ascii="宋体" w:hAnsi="宋体"/>
                <w:color w:val="auto"/>
                <w:szCs w:val="21"/>
              </w:rPr>
            </w:pPr>
            <w:r>
              <w:rPr>
                <w:rFonts w:hint="eastAsia" w:ascii="宋体" w:hAnsi="宋体"/>
                <w:color w:val="auto"/>
                <w:szCs w:val="21"/>
              </w:rPr>
              <w:t>序号</w:t>
            </w:r>
          </w:p>
        </w:tc>
        <w:tc>
          <w:tcPr>
            <w:tcW w:w="1260" w:type="dxa"/>
            <w:vAlign w:val="center"/>
          </w:tcPr>
          <w:p w14:paraId="0E9474EB">
            <w:pPr>
              <w:spacing w:line="300" w:lineRule="auto"/>
              <w:jc w:val="center"/>
              <w:rPr>
                <w:rFonts w:ascii="宋体" w:hAnsi="宋体"/>
                <w:color w:val="auto"/>
                <w:szCs w:val="21"/>
              </w:rPr>
            </w:pPr>
            <w:r>
              <w:rPr>
                <w:rFonts w:hint="eastAsia" w:ascii="宋体" w:hAnsi="宋体"/>
                <w:color w:val="auto"/>
                <w:szCs w:val="21"/>
              </w:rPr>
              <w:t>业主名称</w:t>
            </w:r>
          </w:p>
        </w:tc>
        <w:tc>
          <w:tcPr>
            <w:tcW w:w="1260" w:type="dxa"/>
            <w:vAlign w:val="center"/>
          </w:tcPr>
          <w:p w14:paraId="0B3BDC59">
            <w:pPr>
              <w:spacing w:line="300" w:lineRule="auto"/>
              <w:jc w:val="center"/>
              <w:rPr>
                <w:rFonts w:ascii="宋体" w:hAnsi="宋体"/>
                <w:color w:val="auto"/>
                <w:szCs w:val="21"/>
              </w:rPr>
            </w:pPr>
            <w:r>
              <w:rPr>
                <w:rFonts w:hint="eastAsia" w:ascii="宋体" w:hAnsi="宋体"/>
                <w:color w:val="auto"/>
                <w:szCs w:val="21"/>
              </w:rPr>
              <w:t>项目名称</w:t>
            </w:r>
          </w:p>
        </w:tc>
        <w:tc>
          <w:tcPr>
            <w:tcW w:w="1260" w:type="dxa"/>
            <w:vAlign w:val="center"/>
          </w:tcPr>
          <w:p w14:paraId="611EBEA3">
            <w:pPr>
              <w:spacing w:line="300" w:lineRule="auto"/>
              <w:jc w:val="center"/>
              <w:rPr>
                <w:rFonts w:ascii="宋体" w:hAnsi="宋体"/>
                <w:color w:val="auto"/>
                <w:szCs w:val="21"/>
              </w:rPr>
            </w:pPr>
            <w:r>
              <w:rPr>
                <w:rFonts w:hint="eastAsia" w:ascii="宋体" w:hAnsi="宋体"/>
                <w:color w:val="auto"/>
                <w:szCs w:val="21"/>
              </w:rPr>
              <w:t>产品名称</w:t>
            </w:r>
          </w:p>
        </w:tc>
        <w:tc>
          <w:tcPr>
            <w:tcW w:w="1620" w:type="dxa"/>
            <w:vAlign w:val="center"/>
          </w:tcPr>
          <w:p w14:paraId="710AB337">
            <w:pPr>
              <w:spacing w:line="300" w:lineRule="auto"/>
              <w:jc w:val="center"/>
              <w:rPr>
                <w:rFonts w:ascii="宋体" w:hAnsi="宋体"/>
                <w:color w:val="auto"/>
                <w:szCs w:val="21"/>
              </w:rPr>
            </w:pPr>
            <w:r>
              <w:rPr>
                <w:rFonts w:hint="eastAsia" w:ascii="宋体" w:hAnsi="宋体"/>
                <w:color w:val="auto"/>
                <w:szCs w:val="21"/>
              </w:rPr>
              <w:t>合同总价</w:t>
            </w:r>
          </w:p>
          <w:p w14:paraId="75AA6D71">
            <w:pPr>
              <w:spacing w:line="300" w:lineRule="auto"/>
              <w:jc w:val="center"/>
              <w:rPr>
                <w:rFonts w:ascii="宋体" w:hAnsi="宋体"/>
                <w:color w:val="auto"/>
                <w:szCs w:val="21"/>
              </w:rPr>
            </w:pPr>
            <w:r>
              <w:rPr>
                <w:rFonts w:hint="eastAsia" w:ascii="宋体" w:hAnsi="宋体"/>
                <w:color w:val="auto"/>
                <w:szCs w:val="21"/>
              </w:rPr>
              <w:t>（单位/万元）</w:t>
            </w:r>
          </w:p>
        </w:tc>
        <w:tc>
          <w:tcPr>
            <w:tcW w:w="900" w:type="dxa"/>
            <w:vAlign w:val="center"/>
          </w:tcPr>
          <w:p w14:paraId="5D96FEB0">
            <w:pPr>
              <w:spacing w:line="300" w:lineRule="auto"/>
              <w:jc w:val="center"/>
              <w:rPr>
                <w:rFonts w:ascii="宋体" w:hAnsi="宋体"/>
                <w:color w:val="auto"/>
                <w:szCs w:val="21"/>
              </w:rPr>
            </w:pPr>
            <w:r>
              <w:rPr>
                <w:rFonts w:hint="eastAsia" w:ascii="宋体" w:hAnsi="宋体"/>
                <w:color w:val="auto"/>
                <w:szCs w:val="21"/>
              </w:rPr>
              <w:t>数量</w:t>
            </w:r>
          </w:p>
        </w:tc>
        <w:tc>
          <w:tcPr>
            <w:tcW w:w="1260" w:type="dxa"/>
            <w:vAlign w:val="center"/>
          </w:tcPr>
          <w:p w14:paraId="0A146838">
            <w:pPr>
              <w:spacing w:line="300" w:lineRule="auto"/>
              <w:jc w:val="center"/>
              <w:rPr>
                <w:rFonts w:ascii="宋体" w:hAnsi="宋体"/>
                <w:color w:val="auto"/>
                <w:szCs w:val="21"/>
              </w:rPr>
            </w:pPr>
            <w:r>
              <w:rPr>
                <w:rFonts w:hint="eastAsia" w:ascii="宋体" w:hAnsi="宋体"/>
                <w:color w:val="auto"/>
                <w:szCs w:val="21"/>
              </w:rPr>
              <w:t>签约及完成时间</w:t>
            </w:r>
          </w:p>
        </w:tc>
        <w:tc>
          <w:tcPr>
            <w:tcW w:w="1221" w:type="dxa"/>
            <w:vAlign w:val="center"/>
          </w:tcPr>
          <w:p w14:paraId="448E829F">
            <w:pPr>
              <w:spacing w:line="300" w:lineRule="auto"/>
              <w:jc w:val="center"/>
              <w:rPr>
                <w:rFonts w:ascii="宋体" w:hAnsi="宋体"/>
                <w:color w:val="auto"/>
                <w:szCs w:val="21"/>
              </w:rPr>
            </w:pPr>
            <w:r>
              <w:rPr>
                <w:rFonts w:hint="eastAsia" w:ascii="宋体" w:hAnsi="宋体"/>
                <w:color w:val="auto"/>
                <w:szCs w:val="21"/>
              </w:rPr>
              <w:t>单位联系人及电话</w:t>
            </w:r>
          </w:p>
        </w:tc>
      </w:tr>
      <w:tr w14:paraId="68BA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7D1C66FA">
            <w:pPr>
              <w:spacing w:line="300" w:lineRule="auto"/>
              <w:jc w:val="center"/>
              <w:rPr>
                <w:rFonts w:ascii="宋体" w:hAnsi="宋体"/>
                <w:color w:val="auto"/>
                <w:szCs w:val="21"/>
              </w:rPr>
            </w:pPr>
          </w:p>
        </w:tc>
        <w:tc>
          <w:tcPr>
            <w:tcW w:w="1260" w:type="dxa"/>
            <w:vAlign w:val="center"/>
          </w:tcPr>
          <w:p w14:paraId="32CAB645">
            <w:pPr>
              <w:spacing w:line="300" w:lineRule="auto"/>
              <w:jc w:val="center"/>
              <w:rPr>
                <w:rFonts w:ascii="宋体" w:hAnsi="宋体"/>
                <w:color w:val="auto"/>
                <w:szCs w:val="21"/>
              </w:rPr>
            </w:pPr>
          </w:p>
        </w:tc>
        <w:tc>
          <w:tcPr>
            <w:tcW w:w="1260" w:type="dxa"/>
          </w:tcPr>
          <w:p w14:paraId="54CBE2E8">
            <w:pPr>
              <w:spacing w:line="300" w:lineRule="auto"/>
              <w:jc w:val="center"/>
              <w:rPr>
                <w:rFonts w:ascii="宋体" w:hAnsi="宋体"/>
                <w:color w:val="auto"/>
                <w:szCs w:val="21"/>
              </w:rPr>
            </w:pPr>
          </w:p>
        </w:tc>
        <w:tc>
          <w:tcPr>
            <w:tcW w:w="1260" w:type="dxa"/>
            <w:vAlign w:val="center"/>
          </w:tcPr>
          <w:p w14:paraId="122507A2">
            <w:pPr>
              <w:spacing w:line="300" w:lineRule="auto"/>
              <w:jc w:val="center"/>
              <w:rPr>
                <w:rFonts w:ascii="宋体" w:hAnsi="宋体"/>
                <w:color w:val="auto"/>
                <w:szCs w:val="21"/>
              </w:rPr>
            </w:pPr>
          </w:p>
        </w:tc>
        <w:tc>
          <w:tcPr>
            <w:tcW w:w="1620" w:type="dxa"/>
            <w:vAlign w:val="center"/>
          </w:tcPr>
          <w:p w14:paraId="2FBB4E61">
            <w:pPr>
              <w:spacing w:line="300" w:lineRule="auto"/>
              <w:jc w:val="center"/>
              <w:rPr>
                <w:rFonts w:ascii="宋体" w:hAnsi="宋体"/>
                <w:color w:val="auto"/>
                <w:szCs w:val="21"/>
              </w:rPr>
            </w:pPr>
          </w:p>
        </w:tc>
        <w:tc>
          <w:tcPr>
            <w:tcW w:w="900" w:type="dxa"/>
          </w:tcPr>
          <w:p w14:paraId="4F74EC65">
            <w:pPr>
              <w:spacing w:line="300" w:lineRule="auto"/>
              <w:jc w:val="center"/>
              <w:rPr>
                <w:rFonts w:ascii="宋体" w:hAnsi="宋体"/>
                <w:color w:val="auto"/>
                <w:szCs w:val="21"/>
              </w:rPr>
            </w:pPr>
          </w:p>
        </w:tc>
        <w:tc>
          <w:tcPr>
            <w:tcW w:w="1260" w:type="dxa"/>
            <w:vAlign w:val="center"/>
          </w:tcPr>
          <w:p w14:paraId="558ED247">
            <w:pPr>
              <w:spacing w:line="300" w:lineRule="auto"/>
              <w:jc w:val="center"/>
              <w:rPr>
                <w:rFonts w:ascii="宋体" w:hAnsi="宋体"/>
                <w:color w:val="auto"/>
                <w:szCs w:val="21"/>
              </w:rPr>
            </w:pPr>
          </w:p>
        </w:tc>
        <w:tc>
          <w:tcPr>
            <w:tcW w:w="1221" w:type="dxa"/>
            <w:vAlign w:val="center"/>
          </w:tcPr>
          <w:p w14:paraId="1C0D7368">
            <w:pPr>
              <w:spacing w:line="300" w:lineRule="auto"/>
              <w:jc w:val="center"/>
              <w:rPr>
                <w:rFonts w:ascii="宋体" w:hAnsi="宋体"/>
                <w:color w:val="auto"/>
                <w:szCs w:val="21"/>
              </w:rPr>
            </w:pPr>
          </w:p>
        </w:tc>
      </w:tr>
      <w:tr w14:paraId="5904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0289D74F">
            <w:pPr>
              <w:spacing w:line="300" w:lineRule="auto"/>
              <w:jc w:val="center"/>
              <w:rPr>
                <w:rFonts w:ascii="宋体" w:hAnsi="宋体"/>
                <w:color w:val="auto"/>
                <w:szCs w:val="21"/>
              </w:rPr>
            </w:pPr>
          </w:p>
        </w:tc>
        <w:tc>
          <w:tcPr>
            <w:tcW w:w="1260" w:type="dxa"/>
            <w:vAlign w:val="center"/>
          </w:tcPr>
          <w:p w14:paraId="019244DF">
            <w:pPr>
              <w:spacing w:line="300" w:lineRule="auto"/>
              <w:jc w:val="center"/>
              <w:rPr>
                <w:rFonts w:ascii="宋体" w:hAnsi="宋体"/>
                <w:color w:val="auto"/>
                <w:szCs w:val="21"/>
              </w:rPr>
            </w:pPr>
          </w:p>
        </w:tc>
        <w:tc>
          <w:tcPr>
            <w:tcW w:w="1260" w:type="dxa"/>
          </w:tcPr>
          <w:p w14:paraId="170C3EE6">
            <w:pPr>
              <w:spacing w:line="300" w:lineRule="auto"/>
              <w:jc w:val="center"/>
              <w:rPr>
                <w:rFonts w:ascii="宋体" w:hAnsi="宋体"/>
                <w:color w:val="auto"/>
                <w:szCs w:val="21"/>
              </w:rPr>
            </w:pPr>
          </w:p>
        </w:tc>
        <w:tc>
          <w:tcPr>
            <w:tcW w:w="1260" w:type="dxa"/>
            <w:vAlign w:val="center"/>
          </w:tcPr>
          <w:p w14:paraId="1C878F34">
            <w:pPr>
              <w:spacing w:line="300" w:lineRule="auto"/>
              <w:jc w:val="center"/>
              <w:rPr>
                <w:rFonts w:ascii="宋体" w:hAnsi="宋体"/>
                <w:color w:val="auto"/>
                <w:szCs w:val="21"/>
              </w:rPr>
            </w:pPr>
          </w:p>
        </w:tc>
        <w:tc>
          <w:tcPr>
            <w:tcW w:w="1620" w:type="dxa"/>
            <w:vAlign w:val="center"/>
          </w:tcPr>
          <w:p w14:paraId="2D293F86">
            <w:pPr>
              <w:spacing w:line="300" w:lineRule="auto"/>
              <w:jc w:val="center"/>
              <w:rPr>
                <w:rFonts w:ascii="宋体" w:hAnsi="宋体"/>
                <w:color w:val="auto"/>
                <w:szCs w:val="21"/>
              </w:rPr>
            </w:pPr>
          </w:p>
        </w:tc>
        <w:tc>
          <w:tcPr>
            <w:tcW w:w="900" w:type="dxa"/>
          </w:tcPr>
          <w:p w14:paraId="2E077E7C">
            <w:pPr>
              <w:spacing w:line="300" w:lineRule="auto"/>
              <w:jc w:val="center"/>
              <w:rPr>
                <w:rFonts w:ascii="宋体" w:hAnsi="宋体"/>
                <w:color w:val="auto"/>
                <w:szCs w:val="21"/>
              </w:rPr>
            </w:pPr>
          </w:p>
        </w:tc>
        <w:tc>
          <w:tcPr>
            <w:tcW w:w="1260" w:type="dxa"/>
            <w:vAlign w:val="center"/>
          </w:tcPr>
          <w:p w14:paraId="5717F8E2">
            <w:pPr>
              <w:spacing w:line="300" w:lineRule="auto"/>
              <w:jc w:val="center"/>
              <w:rPr>
                <w:rFonts w:ascii="宋体" w:hAnsi="宋体"/>
                <w:color w:val="auto"/>
                <w:szCs w:val="21"/>
              </w:rPr>
            </w:pPr>
          </w:p>
        </w:tc>
        <w:tc>
          <w:tcPr>
            <w:tcW w:w="1221" w:type="dxa"/>
            <w:vAlign w:val="center"/>
          </w:tcPr>
          <w:p w14:paraId="25E27955">
            <w:pPr>
              <w:spacing w:line="300" w:lineRule="auto"/>
              <w:jc w:val="center"/>
              <w:rPr>
                <w:rFonts w:ascii="宋体" w:hAnsi="宋体"/>
                <w:color w:val="auto"/>
                <w:szCs w:val="21"/>
              </w:rPr>
            </w:pPr>
          </w:p>
        </w:tc>
      </w:tr>
      <w:tr w14:paraId="63ED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20102499">
            <w:pPr>
              <w:spacing w:line="300" w:lineRule="auto"/>
              <w:jc w:val="center"/>
              <w:rPr>
                <w:rFonts w:ascii="宋体" w:hAnsi="宋体"/>
                <w:color w:val="auto"/>
                <w:szCs w:val="21"/>
              </w:rPr>
            </w:pPr>
          </w:p>
        </w:tc>
        <w:tc>
          <w:tcPr>
            <w:tcW w:w="1260" w:type="dxa"/>
            <w:vAlign w:val="center"/>
          </w:tcPr>
          <w:p w14:paraId="12505A1D">
            <w:pPr>
              <w:spacing w:line="300" w:lineRule="auto"/>
              <w:jc w:val="center"/>
              <w:rPr>
                <w:rFonts w:ascii="宋体" w:hAnsi="宋体"/>
                <w:color w:val="auto"/>
                <w:szCs w:val="21"/>
              </w:rPr>
            </w:pPr>
          </w:p>
        </w:tc>
        <w:tc>
          <w:tcPr>
            <w:tcW w:w="1260" w:type="dxa"/>
          </w:tcPr>
          <w:p w14:paraId="5BB35D2B">
            <w:pPr>
              <w:spacing w:line="300" w:lineRule="auto"/>
              <w:jc w:val="center"/>
              <w:rPr>
                <w:rFonts w:ascii="宋体" w:hAnsi="宋体"/>
                <w:color w:val="auto"/>
                <w:szCs w:val="21"/>
              </w:rPr>
            </w:pPr>
          </w:p>
        </w:tc>
        <w:tc>
          <w:tcPr>
            <w:tcW w:w="1260" w:type="dxa"/>
            <w:vAlign w:val="center"/>
          </w:tcPr>
          <w:p w14:paraId="00926400">
            <w:pPr>
              <w:spacing w:line="300" w:lineRule="auto"/>
              <w:jc w:val="center"/>
              <w:rPr>
                <w:rFonts w:ascii="宋体" w:hAnsi="宋体"/>
                <w:color w:val="auto"/>
                <w:szCs w:val="21"/>
              </w:rPr>
            </w:pPr>
          </w:p>
        </w:tc>
        <w:tc>
          <w:tcPr>
            <w:tcW w:w="1620" w:type="dxa"/>
            <w:vAlign w:val="center"/>
          </w:tcPr>
          <w:p w14:paraId="68AE7AC1">
            <w:pPr>
              <w:spacing w:line="300" w:lineRule="auto"/>
              <w:jc w:val="center"/>
              <w:rPr>
                <w:rFonts w:ascii="宋体" w:hAnsi="宋体"/>
                <w:color w:val="auto"/>
                <w:szCs w:val="21"/>
              </w:rPr>
            </w:pPr>
          </w:p>
        </w:tc>
        <w:tc>
          <w:tcPr>
            <w:tcW w:w="900" w:type="dxa"/>
          </w:tcPr>
          <w:p w14:paraId="443248ED">
            <w:pPr>
              <w:spacing w:line="300" w:lineRule="auto"/>
              <w:jc w:val="center"/>
              <w:rPr>
                <w:rFonts w:ascii="宋体" w:hAnsi="宋体"/>
                <w:color w:val="auto"/>
                <w:szCs w:val="21"/>
              </w:rPr>
            </w:pPr>
          </w:p>
        </w:tc>
        <w:tc>
          <w:tcPr>
            <w:tcW w:w="1260" w:type="dxa"/>
            <w:vAlign w:val="center"/>
          </w:tcPr>
          <w:p w14:paraId="4CA21D70">
            <w:pPr>
              <w:spacing w:line="300" w:lineRule="auto"/>
              <w:jc w:val="center"/>
              <w:rPr>
                <w:rFonts w:ascii="宋体" w:hAnsi="宋体"/>
                <w:color w:val="auto"/>
                <w:szCs w:val="21"/>
              </w:rPr>
            </w:pPr>
          </w:p>
        </w:tc>
        <w:tc>
          <w:tcPr>
            <w:tcW w:w="1221" w:type="dxa"/>
            <w:vAlign w:val="center"/>
          </w:tcPr>
          <w:p w14:paraId="628CB154">
            <w:pPr>
              <w:spacing w:line="300" w:lineRule="auto"/>
              <w:jc w:val="center"/>
              <w:rPr>
                <w:rFonts w:ascii="宋体" w:hAnsi="宋体"/>
                <w:color w:val="auto"/>
                <w:szCs w:val="21"/>
              </w:rPr>
            </w:pPr>
          </w:p>
        </w:tc>
      </w:tr>
      <w:tr w14:paraId="20A1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1750888A">
            <w:pPr>
              <w:spacing w:line="300" w:lineRule="auto"/>
              <w:jc w:val="center"/>
              <w:rPr>
                <w:rFonts w:ascii="宋体" w:hAnsi="宋体"/>
                <w:color w:val="auto"/>
                <w:szCs w:val="21"/>
              </w:rPr>
            </w:pPr>
          </w:p>
        </w:tc>
        <w:tc>
          <w:tcPr>
            <w:tcW w:w="1260" w:type="dxa"/>
            <w:vAlign w:val="center"/>
          </w:tcPr>
          <w:p w14:paraId="57B23B29">
            <w:pPr>
              <w:spacing w:line="300" w:lineRule="auto"/>
              <w:jc w:val="center"/>
              <w:rPr>
                <w:rFonts w:ascii="宋体" w:hAnsi="宋体"/>
                <w:color w:val="auto"/>
                <w:szCs w:val="21"/>
              </w:rPr>
            </w:pPr>
          </w:p>
        </w:tc>
        <w:tc>
          <w:tcPr>
            <w:tcW w:w="1260" w:type="dxa"/>
          </w:tcPr>
          <w:p w14:paraId="5C8A28F5">
            <w:pPr>
              <w:spacing w:line="300" w:lineRule="auto"/>
              <w:jc w:val="center"/>
              <w:rPr>
                <w:rFonts w:ascii="宋体" w:hAnsi="宋体"/>
                <w:color w:val="auto"/>
                <w:szCs w:val="21"/>
              </w:rPr>
            </w:pPr>
          </w:p>
        </w:tc>
        <w:tc>
          <w:tcPr>
            <w:tcW w:w="1260" w:type="dxa"/>
            <w:vAlign w:val="center"/>
          </w:tcPr>
          <w:p w14:paraId="0E36CA35">
            <w:pPr>
              <w:spacing w:line="300" w:lineRule="auto"/>
              <w:jc w:val="center"/>
              <w:rPr>
                <w:rFonts w:ascii="宋体" w:hAnsi="宋体"/>
                <w:color w:val="auto"/>
                <w:szCs w:val="21"/>
              </w:rPr>
            </w:pPr>
          </w:p>
        </w:tc>
        <w:tc>
          <w:tcPr>
            <w:tcW w:w="1620" w:type="dxa"/>
            <w:vAlign w:val="center"/>
          </w:tcPr>
          <w:p w14:paraId="370D16DC">
            <w:pPr>
              <w:spacing w:line="300" w:lineRule="auto"/>
              <w:jc w:val="center"/>
              <w:rPr>
                <w:rFonts w:ascii="宋体" w:hAnsi="宋体"/>
                <w:color w:val="auto"/>
                <w:szCs w:val="21"/>
              </w:rPr>
            </w:pPr>
          </w:p>
        </w:tc>
        <w:tc>
          <w:tcPr>
            <w:tcW w:w="900" w:type="dxa"/>
          </w:tcPr>
          <w:p w14:paraId="4B39BC14">
            <w:pPr>
              <w:spacing w:line="300" w:lineRule="auto"/>
              <w:jc w:val="center"/>
              <w:rPr>
                <w:rFonts w:ascii="宋体" w:hAnsi="宋体"/>
                <w:color w:val="auto"/>
                <w:szCs w:val="21"/>
              </w:rPr>
            </w:pPr>
          </w:p>
        </w:tc>
        <w:tc>
          <w:tcPr>
            <w:tcW w:w="1260" w:type="dxa"/>
            <w:vAlign w:val="center"/>
          </w:tcPr>
          <w:p w14:paraId="43FAF1B9">
            <w:pPr>
              <w:spacing w:line="300" w:lineRule="auto"/>
              <w:jc w:val="center"/>
              <w:rPr>
                <w:rFonts w:ascii="宋体" w:hAnsi="宋体"/>
                <w:color w:val="auto"/>
                <w:szCs w:val="21"/>
              </w:rPr>
            </w:pPr>
          </w:p>
        </w:tc>
        <w:tc>
          <w:tcPr>
            <w:tcW w:w="1221" w:type="dxa"/>
            <w:vAlign w:val="center"/>
          </w:tcPr>
          <w:p w14:paraId="042DA0D6">
            <w:pPr>
              <w:spacing w:line="300" w:lineRule="auto"/>
              <w:jc w:val="center"/>
              <w:rPr>
                <w:rFonts w:ascii="宋体" w:hAnsi="宋体"/>
                <w:color w:val="auto"/>
                <w:szCs w:val="21"/>
              </w:rPr>
            </w:pPr>
          </w:p>
        </w:tc>
      </w:tr>
      <w:tr w14:paraId="0141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4B00C21D">
            <w:pPr>
              <w:spacing w:line="300" w:lineRule="auto"/>
              <w:jc w:val="center"/>
              <w:rPr>
                <w:rFonts w:ascii="宋体" w:hAnsi="宋体"/>
                <w:color w:val="auto"/>
                <w:szCs w:val="21"/>
              </w:rPr>
            </w:pPr>
          </w:p>
        </w:tc>
        <w:tc>
          <w:tcPr>
            <w:tcW w:w="1260" w:type="dxa"/>
            <w:vAlign w:val="center"/>
          </w:tcPr>
          <w:p w14:paraId="6393B662">
            <w:pPr>
              <w:spacing w:line="300" w:lineRule="auto"/>
              <w:jc w:val="center"/>
              <w:rPr>
                <w:rFonts w:ascii="宋体" w:hAnsi="宋体"/>
                <w:color w:val="auto"/>
                <w:szCs w:val="21"/>
              </w:rPr>
            </w:pPr>
          </w:p>
        </w:tc>
        <w:tc>
          <w:tcPr>
            <w:tcW w:w="1260" w:type="dxa"/>
          </w:tcPr>
          <w:p w14:paraId="7E262972">
            <w:pPr>
              <w:spacing w:line="300" w:lineRule="auto"/>
              <w:jc w:val="center"/>
              <w:rPr>
                <w:rFonts w:ascii="宋体" w:hAnsi="宋体"/>
                <w:color w:val="auto"/>
                <w:szCs w:val="21"/>
              </w:rPr>
            </w:pPr>
          </w:p>
        </w:tc>
        <w:tc>
          <w:tcPr>
            <w:tcW w:w="1260" w:type="dxa"/>
            <w:vAlign w:val="center"/>
          </w:tcPr>
          <w:p w14:paraId="0EE3C308">
            <w:pPr>
              <w:spacing w:line="300" w:lineRule="auto"/>
              <w:jc w:val="center"/>
              <w:rPr>
                <w:rFonts w:ascii="宋体" w:hAnsi="宋体"/>
                <w:color w:val="auto"/>
                <w:szCs w:val="21"/>
              </w:rPr>
            </w:pPr>
          </w:p>
        </w:tc>
        <w:tc>
          <w:tcPr>
            <w:tcW w:w="1620" w:type="dxa"/>
            <w:vAlign w:val="center"/>
          </w:tcPr>
          <w:p w14:paraId="71897A69">
            <w:pPr>
              <w:spacing w:line="300" w:lineRule="auto"/>
              <w:jc w:val="center"/>
              <w:rPr>
                <w:rFonts w:ascii="宋体" w:hAnsi="宋体"/>
                <w:color w:val="auto"/>
                <w:szCs w:val="21"/>
              </w:rPr>
            </w:pPr>
          </w:p>
        </w:tc>
        <w:tc>
          <w:tcPr>
            <w:tcW w:w="900" w:type="dxa"/>
          </w:tcPr>
          <w:p w14:paraId="6751B02D">
            <w:pPr>
              <w:spacing w:line="300" w:lineRule="auto"/>
              <w:jc w:val="center"/>
              <w:rPr>
                <w:rFonts w:ascii="宋体" w:hAnsi="宋体"/>
                <w:color w:val="auto"/>
                <w:szCs w:val="21"/>
              </w:rPr>
            </w:pPr>
          </w:p>
        </w:tc>
        <w:tc>
          <w:tcPr>
            <w:tcW w:w="1260" w:type="dxa"/>
            <w:vAlign w:val="center"/>
          </w:tcPr>
          <w:p w14:paraId="53504BF5">
            <w:pPr>
              <w:spacing w:line="300" w:lineRule="auto"/>
              <w:jc w:val="center"/>
              <w:rPr>
                <w:rFonts w:ascii="宋体" w:hAnsi="宋体"/>
                <w:color w:val="auto"/>
                <w:szCs w:val="21"/>
              </w:rPr>
            </w:pPr>
          </w:p>
        </w:tc>
        <w:tc>
          <w:tcPr>
            <w:tcW w:w="1221" w:type="dxa"/>
            <w:vAlign w:val="center"/>
          </w:tcPr>
          <w:p w14:paraId="6E8306F3">
            <w:pPr>
              <w:spacing w:line="300" w:lineRule="auto"/>
              <w:jc w:val="center"/>
              <w:rPr>
                <w:rFonts w:ascii="宋体" w:hAnsi="宋体"/>
                <w:color w:val="auto"/>
                <w:szCs w:val="21"/>
              </w:rPr>
            </w:pPr>
          </w:p>
        </w:tc>
      </w:tr>
      <w:tr w14:paraId="0103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03AA96B1">
            <w:pPr>
              <w:spacing w:line="300" w:lineRule="auto"/>
              <w:jc w:val="center"/>
              <w:rPr>
                <w:rFonts w:ascii="宋体" w:hAnsi="宋体"/>
                <w:color w:val="auto"/>
                <w:szCs w:val="21"/>
              </w:rPr>
            </w:pPr>
          </w:p>
        </w:tc>
        <w:tc>
          <w:tcPr>
            <w:tcW w:w="1260" w:type="dxa"/>
            <w:vAlign w:val="center"/>
          </w:tcPr>
          <w:p w14:paraId="5B88BB82">
            <w:pPr>
              <w:spacing w:line="300" w:lineRule="auto"/>
              <w:jc w:val="center"/>
              <w:rPr>
                <w:rFonts w:ascii="宋体" w:hAnsi="宋体"/>
                <w:color w:val="auto"/>
                <w:szCs w:val="21"/>
              </w:rPr>
            </w:pPr>
          </w:p>
        </w:tc>
        <w:tc>
          <w:tcPr>
            <w:tcW w:w="1260" w:type="dxa"/>
          </w:tcPr>
          <w:p w14:paraId="60F6E300">
            <w:pPr>
              <w:spacing w:line="300" w:lineRule="auto"/>
              <w:jc w:val="center"/>
              <w:rPr>
                <w:rFonts w:ascii="宋体" w:hAnsi="宋体"/>
                <w:color w:val="auto"/>
                <w:szCs w:val="21"/>
              </w:rPr>
            </w:pPr>
          </w:p>
        </w:tc>
        <w:tc>
          <w:tcPr>
            <w:tcW w:w="1260" w:type="dxa"/>
            <w:vAlign w:val="center"/>
          </w:tcPr>
          <w:p w14:paraId="37FBA2C0">
            <w:pPr>
              <w:spacing w:line="300" w:lineRule="auto"/>
              <w:jc w:val="center"/>
              <w:rPr>
                <w:rFonts w:ascii="宋体" w:hAnsi="宋体"/>
                <w:color w:val="auto"/>
                <w:szCs w:val="21"/>
              </w:rPr>
            </w:pPr>
          </w:p>
        </w:tc>
        <w:tc>
          <w:tcPr>
            <w:tcW w:w="1620" w:type="dxa"/>
            <w:vAlign w:val="center"/>
          </w:tcPr>
          <w:p w14:paraId="4998A145">
            <w:pPr>
              <w:spacing w:line="300" w:lineRule="auto"/>
              <w:jc w:val="center"/>
              <w:rPr>
                <w:rFonts w:ascii="宋体" w:hAnsi="宋体"/>
                <w:color w:val="auto"/>
                <w:szCs w:val="21"/>
              </w:rPr>
            </w:pPr>
          </w:p>
        </w:tc>
        <w:tc>
          <w:tcPr>
            <w:tcW w:w="900" w:type="dxa"/>
          </w:tcPr>
          <w:p w14:paraId="2E381C2F">
            <w:pPr>
              <w:spacing w:line="300" w:lineRule="auto"/>
              <w:jc w:val="center"/>
              <w:rPr>
                <w:rFonts w:ascii="宋体" w:hAnsi="宋体"/>
                <w:color w:val="auto"/>
                <w:szCs w:val="21"/>
              </w:rPr>
            </w:pPr>
          </w:p>
        </w:tc>
        <w:tc>
          <w:tcPr>
            <w:tcW w:w="1260" w:type="dxa"/>
            <w:vAlign w:val="center"/>
          </w:tcPr>
          <w:p w14:paraId="1998590A">
            <w:pPr>
              <w:spacing w:line="300" w:lineRule="auto"/>
              <w:jc w:val="center"/>
              <w:rPr>
                <w:rFonts w:ascii="宋体" w:hAnsi="宋体"/>
                <w:color w:val="auto"/>
                <w:szCs w:val="21"/>
              </w:rPr>
            </w:pPr>
          </w:p>
        </w:tc>
        <w:tc>
          <w:tcPr>
            <w:tcW w:w="1221" w:type="dxa"/>
            <w:vAlign w:val="center"/>
          </w:tcPr>
          <w:p w14:paraId="4195A031">
            <w:pPr>
              <w:spacing w:line="300" w:lineRule="auto"/>
              <w:jc w:val="center"/>
              <w:rPr>
                <w:rFonts w:ascii="宋体" w:hAnsi="宋体"/>
                <w:color w:val="auto"/>
                <w:szCs w:val="21"/>
              </w:rPr>
            </w:pPr>
          </w:p>
        </w:tc>
      </w:tr>
    </w:tbl>
    <w:p w14:paraId="14A41D84">
      <w:pPr>
        <w:spacing w:line="300" w:lineRule="auto"/>
        <w:rPr>
          <w:rFonts w:ascii="宋体" w:hAnsi="宋体"/>
          <w:b/>
          <w:color w:val="auto"/>
          <w:szCs w:val="21"/>
        </w:rPr>
      </w:pPr>
      <w:r>
        <w:rPr>
          <w:rFonts w:hint="eastAsia" w:ascii="宋体" w:hAnsi="宋体"/>
          <w:b/>
          <w:color w:val="auto"/>
          <w:szCs w:val="21"/>
        </w:rPr>
        <w:t>注：请附上相关同类业绩评价证明资料，评审细则另有要求的，按评审细则提供。</w:t>
      </w:r>
    </w:p>
    <w:p w14:paraId="2036E4C2">
      <w:pPr>
        <w:spacing w:line="300" w:lineRule="auto"/>
        <w:rPr>
          <w:rFonts w:ascii="宋体" w:hAnsi="宋体"/>
          <w:bCs/>
          <w:color w:val="auto"/>
          <w:szCs w:val="21"/>
        </w:rPr>
      </w:pPr>
      <w:r>
        <w:rPr>
          <w:rFonts w:hint="eastAsia" w:ascii="宋体" w:hAnsi="宋体"/>
          <w:bCs/>
          <w:color w:val="auto"/>
          <w:szCs w:val="21"/>
        </w:rPr>
        <w:t>供应商全称（加盖公章）：</w:t>
      </w:r>
    </w:p>
    <w:p w14:paraId="69643885">
      <w:pPr>
        <w:spacing w:line="300" w:lineRule="auto"/>
        <w:rPr>
          <w:rFonts w:ascii="宋体" w:hAnsi="宋体"/>
          <w:bCs/>
          <w:color w:val="auto"/>
          <w:szCs w:val="21"/>
        </w:rPr>
      </w:pPr>
      <w:r>
        <w:rPr>
          <w:rFonts w:hint="eastAsia" w:ascii="宋体" w:hAnsi="宋体"/>
          <w:bCs/>
          <w:color w:val="auto"/>
          <w:szCs w:val="21"/>
        </w:rPr>
        <w:t>法定代表人或其供应商授权代表(签字)：                   日    期：     年   月   日</w:t>
      </w:r>
    </w:p>
    <w:p w14:paraId="6C23B953">
      <w:pPr>
        <w:spacing w:line="300" w:lineRule="auto"/>
        <w:rPr>
          <w:rFonts w:ascii="宋体" w:hAnsi="宋体"/>
          <w:bCs/>
          <w:color w:val="auto"/>
          <w:szCs w:val="21"/>
        </w:rPr>
      </w:pPr>
      <w:r>
        <w:rPr>
          <w:rFonts w:ascii="宋体" w:hAnsi="宋体"/>
          <w:bCs/>
          <w:color w:val="auto"/>
          <w:szCs w:val="21"/>
        </w:rPr>
        <w:br w:type="page"/>
      </w:r>
    </w:p>
    <w:p w14:paraId="15B69960">
      <w:pPr>
        <w:pStyle w:val="5"/>
        <w:rPr>
          <w:color w:val="auto"/>
        </w:rPr>
      </w:pPr>
      <w:r>
        <w:rPr>
          <w:rFonts w:hint="eastAsia"/>
          <w:color w:val="auto"/>
        </w:rPr>
        <w:t xml:space="preserve">格式10         拟派本项目负责人及主要人员情况表 </w:t>
      </w:r>
    </w:p>
    <w:p w14:paraId="6724D2AE">
      <w:pPr>
        <w:spacing w:line="300" w:lineRule="auto"/>
        <w:rPr>
          <w:rFonts w:ascii="宋体" w:hAnsi="宋体"/>
          <w:color w:val="auto"/>
          <w:szCs w:val="21"/>
        </w:rPr>
      </w:pPr>
      <w:r>
        <w:rPr>
          <w:rFonts w:hint="eastAsia" w:ascii="宋体" w:hAnsi="宋体"/>
          <w:color w:val="auto"/>
          <w:szCs w:val="21"/>
        </w:rPr>
        <w:t xml:space="preserve">项目名称：                                         </w:t>
      </w:r>
      <w:r>
        <w:rPr>
          <w:rFonts w:ascii="宋体" w:hAnsi="宋体"/>
          <w:color w:val="auto"/>
          <w:szCs w:val="21"/>
        </w:rPr>
        <w:t>项目编号：</w:t>
      </w:r>
      <w:r>
        <w:rPr>
          <w:rFonts w:hint="eastAsia" w:ascii="宋体" w:hAnsi="宋体"/>
          <w:color w:val="auto"/>
          <w:szCs w:val="21"/>
        </w:rPr>
        <w:t xml:space="preserve">         </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62"/>
        <w:gridCol w:w="9"/>
        <w:gridCol w:w="1071"/>
        <w:gridCol w:w="216"/>
        <w:gridCol w:w="660"/>
        <w:gridCol w:w="204"/>
        <w:gridCol w:w="461"/>
        <w:gridCol w:w="619"/>
        <w:gridCol w:w="894"/>
        <w:gridCol w:w="184"/>
        <w:gridCol w:w="1103"/>
        <w:gridCol w:w="694"/>
        <w:gridCol w:w="97"/>
        <w:gridCol w:w="1685"/>
      </w:tblGrid>
      <w:tr w14:paraId="53AA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77" w:type="dxa"/>
            <w:gridSpan w:val="15"/>
            <w:vAlign w:val="center"/>
          </w:tcPr>
          <w:p w14:paraId="3CD52BA0">
            <w:pPr>
              <w:spacing w:line="300" w:lineRule="auto"/>
              <w:jc w:val="center"/>
              <w:rPr>
                <w:rFonts w:ascii="宋体" w:hAnsi="宋体"/>
                <w:color w:val="auto"/>
                <w:szCs w:val="21"/>
              </w:rPr>
            </w:pPr>
            <w:r>
              <w:rPr>
                <w:rFonts w:hint="eastAsia" w:ascii="宋体" w:hAnsi="宋体"/>
                <w:color w:val="auto"/>
                <w:szCs w:val="21"/>
              </w:rPr>
              <w:t>拟派项目负责人资料情况</w:t>
            </w:r>
          </w:p>
        </w:tc>
      </w:tr>
      <w:tr w14:paraId="284B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89" w:type="dxa"/>
            <w:gridSpan w:val="3"/>
            <w:vAlign w:val="center"/>
          </w:tcPr>
          <w:p w14:paraId="1D209B4E">
            <w:pPr>
              <w:spacing w:line="300" w:lineRule="auto"/>
              <w:jc w:val="center"/>
              <w:rPr>
                <w:rFonts w:ascii="宋体" w:hAnsi="宋体"/>
                <w:color w:val="auto"/>
                <w:szCs w:val="21"/>
              </w:rPr>
            </w:pPr>
            <w:r>
              <w:rPr>
                <w:rFonts w:hint="eastAsia" w:ascii="宋体" w:hAnsi="宋体"/>
                <w:color w:val="auto"/>
                <w:szCs w:val="21"/>
              </w:rPr>
              <w:t>姓名</w:t>
            </w:r>
          </w:p>
        </w:tc>
        <w:tc>
          <w:tcPr>
            <w:tcW w:w="1287" w:type="dxa"/>
            <w:gridSpan w:val="2"/>
            <w:vAlign w:val="center"/>
          </w:tcPr>
          <w:p w14:paraId="3A73C88E">
            <w:pPr>
              <w:spacing w:line="300" w:lineRule="auto"/>
              <w:jc w:val="center"/>
              <w:rPr>
                <w:rFonts w:ascii="宋体" w:hAnsi="宋体"/>
                <w:color w:val="auto"/>
                <w:szCs w:val="21"/>
              </w:rPr>
            </w:pPr>
          </w:p>
        </w:tc>
        <w:tc>
          <w:tcPr>
            <w:tcW w:w="1325" w:type="dxa"/>
            <w:gridSpan w:val="3"/>
            <w:vAlign w:val="center"/>
          </w:tcPr>
          <w:p w14:paraId="7CBB6A9F">
            <w:pPr>
              <w:spacing w:line="300" w:lineRule="auto"/>
              <w:jc w:val="center"/>
              <w:rPr>
                <w:rFonts w:ascii="宋体" w:hAnsi="宋体"/>
                <w:color w:val="auto"/>
                <w:szCs w:val="21"/>
              </w:rPr>
            </w:pPr>
            <w:r>
              <w:rPr>
                <w:rFonts w:hint="eastAsia" w:ascii="宋体" w:hAnsi="宋体"/>
                <w:color w:val="auto"/>
                <w:szCs w:val="21"/>
              </w:rPr>
              <w:t>性别</w:t>
            </w:r>
          </w:p>
        </w:tc>
        <w:tc>
          <w:tcPr>
            <w:tcW w:w="1697" w:type="dxa"/>
            <w:gridSpan w:val="3"/>
            <w:vAlign w:val="center"/>
          </w:tcPr>
          <w:p w14:paraId="5E9FA253">
            <w:pPr>
              <w:spacing w:line="300" w:lineRule="auto"/>
              <w:jc w:val="center"/>
              <w:rPr>
                <w:rFonts w:ascii="宋体" w:hAnsi="宋体"/>
                <w:color w:val="auto"/>
                <w:szCs w:val="21"/>
              </w:rPr>
            </w:pPr>
          </w:p>
        </w:tc>
        <w:tc>
          <w:tcPr>
            <w:tcW w:w="1797" w:type="dxa"/>
            <w:gridSpan w:val="2"/>
            <w:vAlign w:val="center"/>
          </w:tcPr>
          <w:p w14:paraId="62C9F006">
            <w:pPr>
              <w:spacing w:line="300" w:lineRule="auto"/>
              <w:jc w:val="center"/>
              <w:rPr>
                <w:rFonts w:ascii="宋体" w:hAnsi="宋体"/>
                <w:color w:val="auto"/>
                <w:szCs w:val="21"/>
              </w:rPr>
            </w:pPr>
            <w:r>
              <w:rPr>
                <w:rFonts w:hint="eastAsia" w:ascii="宋体" w:hAnsi="宋体"/>
                <w:color w:val="auto"/>
                <w:szCs w:val="21"/>
              </w:rPr>
              <w:t>年龄</w:t>
            </w:r>
          </w:p>
        </w:tc>
        <w:tc>
          <w:tcPr>
            <w:tcW w:w="1782" w:type="dxa"/>
            <w:gridSpan w:val="2"/>
            <w:vAlign w:val="center"/>
          </w:tcPr>
          <w:p w14:paraId="67D3B455">
            <w:pPr>
              <w:spacing w:line="300" w:lineRule="auto"/>
              <w:jc w:val="center"/>
              <w:rPr>
                <w:rFonts w:ascii="宋体" w:hAnsi="宋体"/>
                <w:color w:val="auto"/>
                <w:szCs w:val="21"/>
              </w:rPr>
            </w:pPr>
          </w:p>
        </w:tc>
      </w:tr>
      <w:tr w14:paraId="402E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89" w:type="dxa"/>
            <w:gridSpan w:val="3"/>
            <w:vAlign w:val="center"/>
          </w:tcPr>
          <w:p w14:paraId="786B0FE3">
            <w:pPr>
              <w:spacing w:line="300" w:lineRule="auto"/>
              <w:jc w:val="center"/>
              <w:rPr>
                <w:rFonts w:ascii="宋体" w:hAnsi="宋体"/>
                <w:color w:val="auto"/>
                <w:szCs w:val="21"/>
              </w:rPr>
            </w:pPr>
            <w:r>
              <w:rPr>
                <w:rFonts w:hint="eastAsia" w:ascii="宋体" w:hAnsi="宋体"/>
                <w:color w:val="auto"/>
                <w:szCs w:val="21"/>
              </w:rPr>
              <w:t>职务</w:t>
            </w:r>
          </w:p>
        </w:tc>
        <w:tc>
          <w:tcPr>
            <w:tcW w:w="1287" w:type="dxa"/>
            <w:gridSpan w:val="2"/>
            <w:vAlign w:val="center"/>
          </w:tcPr>
          <w:p w14:paraId="68460288">
            <w:pPr>
              <w:spacing w:line="300" w:lineRule="auto"/>
              <w:jc w:val="center"/>
              <w:rPr>
                <w:rFonts w:ascii="宋体" w:hAnsi="宋体"/>
                <w:color w:val="auto"/>
                <w:szCs w:val="21"/>
              </w:rPr>
            </w:pPr>
          </w:p>
        </w:tc>
        <w:tc>
          <w:tcPr>
            <w:tcW w:w="1325" w:type="dxa"/>
            <w:gridSpan w:val="3"/>
            <w:vAlign w:val="center"/>
          </w:tcPr>
          <w:p w14:paraId="74BED584">
            <w:pPr>
              <w:spacing w:line="300" w:lineRule="auto"/>
              <w:jc w:val="center"/>
              <w:rPr>
                <w:rFonts w:ascii="宋体" w:hAnsi="宋体"/>
                <w:color w:val="auto"/>
                <w:szCs w:val="21"/>
              </w:rPr>
            </w:pPr>
            <w:r>
              <w:rPr>
                <w:rFonts w:hint="eastAsia" w:ascii="宋体" w:hAnsi="宋体"/>
                <w:color w:val="auto"/>
                <w:szCs w:val="21"/>
              </w:rPr>
              <w:t>职称</w:t>
            </w:r>
          </w:p>
        </w:tc>
        <w:tc>
          <w:tcPr>
            <w:tcW w:w="1697" w:type="dxa"/>
            <w:gridSpan w:val="3"/>
            <w:vAlign w:val="center"/>
          </w:tcPr>
          <w:p w14:paraId="68BB0D7E">
            <w:pPr>
              <w:spacing w:line="300" w:lineRule="auto"/>
              <w:jc w:val="center"/>
              <w:rPr>
                <w:rFonts w:ascii="宋体" w:hAnsi="宋体"/>
                <w:color w:val="auto"/>
                <w:szCs w:val="21"/>
              </w:rPr>
            </w:pPr>
          </w:p>
        </w:tc>
        <w:tc>
          <w:tcPr>
            <w:tcW w:w="1797" w:type="dxa"/>
            <w:gridSpan w:val="2"/>
            <w:vAlign w:val="center"/>
          </w:tcPr>
          <w:p w14:paraId="73227EF7">
            <w:pPr>
              <w:spacing w:line="300" w:lineRule="auto"/>
              <w:jc w:val="center"/>
              <w:rPr>
                <w:rFonts w:ascii="宋体" w:hAnsi="宋体"/>
                <w:color w:val="auto"/>
                <w:szCs w:val="21"/>
              </w:rPr>
            </w:pPr>
            <w:r>
              <w:rPr>
                <w:rFonts w:hint="eastAsia" w:ascii="宋体" w:hAnsi="宋体"/>
                <w:color w:val="auto"/>
                <w:szCs w:val="21"/>
              </w:rPr>
              <w:t>学历</w:t>
            </w:r>
          </w:p>
        </w:tc>
        <w:tc>
          <w:tcPr>
            <w:tcW w:w="1782" w:type="dxa"/>
            <w:gridSpan w:val="2"/>
            <w:vAlign w:val="center"/>
          </w:tcPr>
          <w:p w14:paraId="71260704">
            <w:pPr>
              <w:spacing w:line="300" w:lineRule="auto"/>
              <w:jc w:val="center"/>
              <w:rPr>
                <w:rFonts w:ascii="宋体" w:hAnsi="宋体"/>
                <w:color w:val="auto"/>
                <w:szCs w:val="21"/>
              </w:rPr>
            </w:pPr>
          </w:p>
        </w:tc>
      </w:tr>
      <w:tr w14:paraId="3175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376" w:type="dxa"/>
            <w:gridSpan w:val="5"/>
            <w:vAlign w:val="center"/>
          </w:tcPr>
          <w:p w14:paraId="77ABDAA9">
            <w:pPr>
              <w:spacing w:line="300" w:lineRule="auto"/>
              <w:jc w:val="center"/>
              <w:rPr>
                <w:rFonts w:ascii="宋体" w:hAnsi="宋体"/>
                <w:color w:val="auto"/>
                <w:szCs w:val="21"/>
              </w:rPr>
            </w:pPr>
            <w:r>
              <w:rPr>
                <w:rFonts w:hint="eastAsia" w:ascii="宋体" w:hAnsi="宋体"/>
                <w:color w:val="auto"/>
                <w:szCs w:val="21"/>
              </w:rPr>
              <w:t>从事同类项目年限</w:t>
            </w:r>
          </w:p>
        </w:tc>
        <w:tc>
          <w:tcPr>
            <w:tcW w:w="1325" w:type="dxa"/>
            <w:gridSpan w:val="3"/>
            <w:vAlign w:val="center"/>
          </w:tcPr>
          <w:p w14:paraId="448EFABB">
            <w:pPr>
              <w:spacing w:line="300" w:lineRule="auto"/>
              <w:jc w:val="center"/>
              <w:rPr>
                <w:rFonts w:ascii="宋体" w:hAnsi="宋体"/>
                <w:color w:val="auto"/>
                <w:szCs w:val="21"/>
              </w:rPr>
            </w:pPr>
          </w:p>
        </w:tc>
        <w:tc>
          <w:tcPr>
            <w:tcW w:w="1697" w:type="dxa"/>
            <w:gridSpan w:val="3"/>
            <w:vAlign w:val="center"/>
          </w:tcPr>
          <w:p w14:paraId="3D9742CD">
            <w:pPr>
              <w:spacing w:line="300" w:lineRule="auto"/>
              <w:jc w:val="center"/>
              <w:rPr>
                <w:rFonts w:ascii="宋体" w:hAnsi="宋体"/>
                <w:color w:val="auto"/>
                <w:szCs w:val="21"/>
              </w:rPr>
            </w:pPr>
            <w:r>
              <w:rPr>
                <w:rFonts w:hint="eastAsia" w:ascii="宋体" w:hAnsi="宋体"/>
                <w:color w:val="auto"/>
                <w:szCs w:val="21"/>
              </w:rPr>
              <w:t>具有认证资质</w:t>
            </w:r>
          </w:p>
        </w:tc>
        <w:tc>
          <w:tcPr>
            <w:tcW w:w="3579" w:type="dxa"/>
            <w:gridSpan w:val="4"/>
            <w:vAlign w:val="center"/>
          </w:tcPr>
          <w:p w14:paraId="4AC4F977">
            <w:pPr>
              <w:spacing w:line="300" w:lineRule="auto"/>
              <w:jc w:val="center"/>
              <w:rPr>
                <w:rFonts w:ascii="宋体" w:hAnsi="宋体"/>
                <w:color w:val="auto"/>
                <w:szCs w:val="21"/>
              </w:rPr>
            </w:pPr>
          </w:p>
        </w:tc>
      </w:tr>
      <w:tr w14:paraId="6509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77" w:type="dxa"/>
            <w:gridSpan w:val="15"/>
            <w:vAlign w:val="center"/>
          </w:tcPr>
          <w:p w14:paraId="76E46B5C">
            <w:pPr>
              <w:spacing w:line="300" w:lineRule="auto"/>
              <w:jc w:val="center"/>
              <w:rPr>
                <w:rFonts w:ascii="宋体" w:hAnsi="宋体"/>
                <w:color w:val="auto"/>
                <w:szCs w:val="21"/>
              </w:rPr>
            </w:pPr>
            <w:r>
              <w:rPr>
                <w:rFonts w:hint="eastAsia" w:ascii="宋体" w:hAnsi="宋体"/>
                <w:color w:val="auto"/>
                <w:szCs w:val="21"/>
              </w:rPr>
              <w:t>已完成的部分同类项目情况</w:t>
            </w:r>
          </w:p>
        </w:tc>
      </w:tr>
      <w:tr w14:paraId="7074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0" w:type="dxa"/>
            <w:gridSpan w:val="2"/>
            <w:vAlign w:val="center"/>
          </w:tcPr>
          <w:p w14:paraId="169F9D81">
            <w:pPr>
              <w:spacing w:line="300" w:lineRule="auto"/>
              <w:jc w:val="center"/>
              <w:rPr>
                <w:rFonts w:ascii="宋体" w:hAnsi="宋体"/>
                <w:color w:val="auto"/>
                <w:szCs w:val="21"/>
              </w:rPr>
            </w:pPr>
            <w:r>
              <w:rPr>
                <w:rFonts w:hint="eastAsia" w:ascii="宋体" w:hAnsi="宋体"/>
                <w:color w:val="auto"/>
                <w:szCs w:val="21"/>
              </w:rPr>
              <w:t>用户单位</w:t>
            </w:r>
          </w:p>
        </w:tc>
        <w:tc>
          <w:tcPr>
            <w:tcW w:w="1956" w:type="dxa"/>
            <w:gridSpan w:val="4"/>
            <w:vAlign w:val="center"/>
          </w:tcPr>
          <w:p w14:paraId="2AEA8802">
            <w:pPr>
              <w:spacing w:line="300" w:lineRule="auto"/>
              <w:jc w:val="center"/>
              <w:rPr>
                <w:rFonts w:ascii="宋体" w:hAnsi="宋体"/>
                <w:color w:val="auto"/>
                <w:szCs w:val="21"/>
              </w:rPr>
            </w:pPr>
            <w:r>
              <w:rPr>
                <w:rFonts w:ascii="宋体" w:hAnsi="宋体"/>
                <w:color w:val="auto"/>
                <w:szCs w:val="21"/>
              </w:rPr>
              <w:t>项目名称</w:t>
            </w:r>
          </w:p>
        </w:tc>
        <w:tc>
          <w:tcPr>
            <w:tcW w:w="2178" w:type="dxa"/>
            <w:gridSpan w:val="4"/>
            <w:vAlign w:val="center"/>
          </w:tcPr>
          <w:p w14:paraId="5F4C22A0">
            <w:pPr>
              <w:spacing w:line="300" w:lineRule="auto"/>
              <w:jc w:val="center"/>
              <w:rPr>
                <w:rFonts w:ascii="宋体" w:hAnsi="宋体"/>
                <w:color w:val="auto"/>
                <w:szCs w:val="21"/>
              </w:rPr>
            </w:pPr>
            <w:r>
              <w:rPr>
                <w:rFonts w:hint="eastAsia" w:ascii="宋体" w:hAnsi="宋体"/>
                <w:color w:val="auto"/>
                <w:szCs w:val="21"/>
              </w:rPr>
              <w:t>项目时间</w:t>
            </w:r>
          </w:p>
        </w:tc>
        <w:tc>
          <w:tcPr>
            <w:tcW w:w="2078" w:type="dxa"/>
            <w:gridSpan w:val="4"/>
            <w:vAlign w:val="center"/>
          </w:tcPr>
          <w:p w14:paraId="758B6CB0">
            <w:pPr>
              <w:spacing w:line="300" w:lineRule="auto"/>
              <w:jc w:val="center"/>
              <w:rPr>
                <w:rFonts w:ascii="宋体" w:hAnsi="宋体"/>
                <w:color w:val="auto"/>
                <w:szCs w:val="21"/>
              </w:rPr>
            </w:pPr>
            <w:r>
              <w:rPr>
                <w:rFonts w:hint="eastAsia" w:ascii="宋体" w:hAnsi="宋体"/>
                <w:color w:val="auto"/>
                <w:szCs w:val="21"/>
              </w:rPr>
              <w:t>项目区域</w:t>
            </w:r>
          </w:p>
        </w:tc>
        <w:tc>
          <w:tcPr>
            <w:tcW w:w="1685" w:type="dxa"/>
            <w:vAlign w:val="center"/>
          </w:tcPr>
          <w:p w14:paraId="256004DE">
            <w:pPr>
              <w:spacing w:line="300" w:lineRule="auto"/>
              <w:jc w:val="center"/>
              <w:rPr>
                <w:rFonts w:ascii="宋体" w:hAnsi="宋体"/>
                <w:color w:val="auto"/>
                <w:szCs w:val="21"/>
              </w:rPr>
            </w:pPr>
            <w:r>
              <w:rPr>
                <w:rFonts w:hint="eastAsia" w:ascii="宋体" w:hAnsi="宋体"/>
                <w:color w:val="auto"/>
                <w:szCs w:val="21"/>
              </w:rPr>
              <w:t>项目效果简述</w:t>
            </w:r>
          </w:p>
        </w:tc>
      </w:tr>
      <w:tr w14:paraId="7BB0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0" w:type="dxa"/>
            <w:gridSpan w:val="2"/>
            <w:vAlign w:val="center"/>
          </w:tcPr>
          <w:p w14:paraId="184C87C1">
            <w:pPr>
              <w:spacing w:line="300" w:lineRule="auto"/>
              <w:jc w:val="center"/>
              <w:rPr>
                <w:rFonts w:ascii="宋体" w:hAnsi="宋体"/>
                <w:color w:val="auto"/>
                <w:szCs w:val="21"/>
              </w:rPr>
            </w:pPr>
            <w:r>
              <w:rPr>
                <w:rFonts w:ascii="宋体" w:hAnsi="宋体"/>
                <w:color w:val="auto"/>
                <w:szCs w:val="21"/>
              </w:rPr>
              <w:t>…</w:t>
            </w:r>
          </w:p>
        </w:tc>
        <w:tc>
          <w:tcPr>
            <w:tcW w:w="1956" w:type="dxa"/>
            <w:gridSpan w:val="4"/>
            <w:vAlign w:val="center"/>
          </w:tcPr>
          <w:p w14:paraId="2CDBDFF6">
            <w:pPr>
              <w:spacing w:line="300" w:lineRule="auto"/>
              <w:jc w:val="center"/>
              <w:rPr>
                <w:rFonts w:ascii="宋体" w:hAnsi="宋体"/>
                <w:color w:val="auto"/>
                <w:szCs w:val="21"/>
              </w:rPr>
            </w:pPr>
            <w:r>
              <w:rPr>
                <w:rFonts w:ascii="宋体" w:hAnsi="宋体"/>
                <w:color w:val="auto"/>
                <w:szCs w:val="21"/>
              </w:rPr>
              <w:t>…</w:t>
            </w:r>
          </w:p>
        </w:tc>
        <w:tc>
          <w:tcPr>
            <w:tcW w:w="2178" w:type="dxa"/>
            <w:gridSpan w:val="4"/>
            <w:vAlign w:val="center"/>
          </w:tcPr>
          <w:p w14:paraId="5BA47447">
            <w:pPr>
              <w:spacing w:line="300" w:lineRule="auto"/>
              <w:jc w:val="center"/>
              <w:rPr>
                <w:rFonts w:ascii="宋体" w:hAnsi="宋体"/>
                <w:color w:val="auto"/>
                <w:szCs w:val="21"/>
              </w:rPr>
            </w:pPr>
            <w:r>
              <w:rPr>
                <w:rFonts w:ascii="宋体" w:hAnsi="宋体"/>
                <w:color w:val="auto"/>
                <w:szCs w:val="21"/>
              </w:rPr>
              <w:t>…</w:t>
            </w:r>
          </w:p>
        </w:tc>
        <w:tc>
          <w:tcPr>
            <w:tcW w:w="2078" w:type="dxa"/>
            <w:gridSpan w:val="4"/>
            <w:vAlign w:val="center"/>
          </w:tcPr>
          <w:p w14:paraId="57CD004E">
            <w:pPr>
              <w:spacing w:line="300" w:lineRule="auto"/>
              <w:jc w:val="center"/>
              <w:rPr>
                <w:rFonts w:ascii="宋体" w:hAnsi="宋体"/>
                <w:color w:val="auto"/>
                <w:szCs w:val="21"/>
              </w:rPr>
            </w:pPr>
            <w:r>
              <w:rPr>
                <w:rFonts w:ascii="宋体" w:hAnsi="宋体"/>
                <w:color w:val="auto"/>
                <w:szCs w:val="21"/>
              </w:rPr>
              <w:t>…</w:t>
            </w:r>
          </w:p>
        </w:tc>
        <w:tc>
          <w:tcPr>
            <w:tcW w:w="1685" w:type="dxa"/>
            <w:vAlign w:val="center"/>
          </w:tcPr>
          <w:p w14:paraId="140474F3">
            <w:pPr>
              <w:spacing w:line="300" w:lineRule="auto"/>
              <w:jc w:val="center"/>
              <w:rPr>
                <w:rFonts w:ascii="宋体" w:hAnsi="宋体"/>
                <w:color w:val="auto"/>
                <w:szCs w:val="21"/>
              </w:rPr>
            </w:pPr>
            <w:r>
              <w:rPr>
                <w:rFonts w:ascii="宋体" w:hAnsi="宋体"/>
                <w:color w:val="auto"/>
                <w:szCs w:val="21"/>
              </w:rPr>
              <w:t>…</w:t>
            </w:r>
          </w:p>
        </w:tc>
      </w:tr>
      <w:tr w14:paraId="0ADC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77" w:type="dxa"/>
            <w:gridSpan w:val="15"/>
            <w:vAlign w:val="center"/>
          </w:tcPr>
          <w:p w14:paraId="692892E5">
            <w:pPr>
              <w:spacing w:line="300" w:lineRule="auto"/>
              <w:jc w:val="center"/>
              <w:rPr>
                <w:rFonts w:ascii="宋体" w:hAnsi="宋体"/>
                <w:color w:val="auto"/>
                <w:szCs w:val="21"/>
              </w:rPr>
            </w:pPr>
            <w:r>
              <w:rPr>
                <w:rFonts w:hint="eastAsia" w:ascii="宋体" w:hAnsi="宋体"/>
                <w:color w:val="auto"/>
                <w:szCs w:val="21"/>
              </w:rPr>
              <w:t>拟参与本项目主要技术及服务人员情况</w:t>
            </w:r>
          </w:p>
        </w:tc>
      </w:tr>
      <w:tr w14:paraId="7808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18" w:type="dxa"/>
            <w:vAlign w:val="center"/>
          </w:tcPr>
          <w:p w14:paraId="09A8D85C">
            <w:pPr>
              <w:spacing w:line="300" w:lineRule="auto"/>
              <w:jc w:val="center"/>
              <w:rPr>
                <w:rFonts w:ascii="宋体" w:hAnsi="宋体"/>
                <w:color w:val="auto"/>
                <w:szCs w:val="21"/>
              </w:rPr>
            </w:pPr>
            <w:r>
              <w:rPr>
                <w:rFonts w:hint="eastAsia" w:ascii="宋体" w:hAnsi="宋体"/>
                <w:color w:val="auto"/>
                <w:szCs w:val="21"/>
              </w:rPr>
              <w:t>姓名</w:t>
            </w:r>
          </w:p>
        </w:tc>
        <w:tc>
          <w:tcPr>
            <w:tcW w:w="1142" w:type="dxa"/>
            <w:gridSpan w:val="3"/>
            <w:vAlign w:val="center"/>
          </w:tcPr>
          <w:p w14:paraId="36FC04FA">
            <w:pPr>
              <w:spacing w:line="300" w:lineRule="auto"/>
              <w:jc w:val="center"/>
              <w:rPr>
                <w:rFonts w:ascii="宋体" w:hAnsi="宋体"/>
                <w:color w:val="auto"/>
                <w:szCs w:val="21"/>
              </w:rPr>
            </w:pPr>
            <w:r>
              <w:rPr>
                <w:rFonts w:hint="eastAsia" w:ascii="宋体" w:hAnsi="宋体"/>
                <w:color w:val="auto"/>
                <w:szCs w:val="21"/>
              </w:rPr>
              <w:t>性别</w:t>
            </w:r>
          </w:p>
        </w:tc>
        <w:tc>
          <w:tcPr>
            <w:tcW w:w="1080" w:type="dxa"/>
            <w:gridSpan w:val="3"/>
            <w:vAlign w:val="center"/>
          </w:tcPr>
          <w:p w14:paraId="24300664">
            <w:pPr>
              <w:spacing w:line="300" w:lineRule="auto"/>
              <w:jc w:val="center"/>
              <w:rPr>
                <w:rFonts w:ascii="宋体" w:hAnsi="宋体"/>
                <w:color w:val="auto"/>
                <w:szCs w:val="21"/>
              </w:rPr>
            </w:pPr>
            <w:r>
              <w:rPr>
                <w:rFonts w:hint="eastAsia" w:ascii="宋体" w:hAnsi="宋体"/>
                <w:color w:val="auto"/>
                <w:szCs w:val="21"/>
              </w:rPr>
              <w:t>年龄</w:t>
            </w:r>
          </w:p>
        </w:tc>
        <w:tc>
          <w:tcPr>
            <w:tcW w:w="1080" w:type="dxa"/>
            <w:gridSpan w:val="2"/>
            <w:vAlign w:val="center"/>
          </w:tcPr>
          <w:p w14:paraId="07142725">
            <w:pPr>
              <w:spacing w:line="300" w:lineRule="auto"/>
              <w:jc w:val="center"/>
              <w:rPr>
                <w:rFonts w:ascii="宋体" w:hAnsi="宋体"/>
                <w:color w:val="auto"/>
                <w:szCs w:val="21"/>
              </w:rPr>
            </w:pPr>
            <w:r>
              <w:rPr>
                <w:rFonts w:hint="eastAsia" w:ascii="宋体" w:hAnsi="宋体"/>
                <w:color w:val="auto"/>
                <w:szCs w:val="21"/>
              </w:rPr>
              <w:t>职称</w:t>
            </w:r>
          </w:p>
        </w:tc>
        <w:tc>
          <w:tcPr>
            <w:tcW w:w="1078" w:type="dxa"/>
            <w:gridSpan w:val="2"/>
            <w:vAlign w:val="center"/>
          </w:tcPr>
          <w:p w14:paraId="12487BBB">
            <w:pPr>
              <w:spacing w:line="300" w:lineRule="auto"/>
              <w:jc w:val="center"/>
              <w:rPr>
                <w:rFonts w:ascii="宋体" w:hAnsi="宋体"/>
                <w:color w:val="auto"/>
                <w:szCs w:val="21"/>
              </w:rPr>
            </w:pPr>
            <w:r>
              <w:rPr>
                <w:rFonts w:hint="eastAsia" w:ascii="宋体" w:hAnsi="宋体"/>
                <w:color w:val="auto"/>
                <w:szCs w:val="21"/>
              </w:rPr>
              <w:t>专业</w:t>
            </w:r>
          </w:p>
        </w:tc>
        <w:tc>
          <w:tcPr>
            <w:tcW w:w="1103" w:type="dxa"/>
            <w:vAlign w:val="center"/>
          </w:tcPr>
          <w:p w14:paraId="0185BC8F">
            <w:pPr>
              <w:spacing w:line="300" w:lineRule="auto"/>
              <w:jc w:val="center"/>
              <w:rPr>
                <w:rFonts w:ascii="宋体" w:hAnsi="宋体"/>
                <w:color w:val="auto"/>
                <w:szCs w:val="21"/>
              </w:rPr>
            </w:pPr>
            <w:r>
              <w:rPr>
                <w:rFonts w:hint="eastAsia" w:ascii="宋体" w:hAnsi="宋体"/>
                <w:color w:val="auto"/>
                <w:szCs w:val="21"/>
              </w:rPr>
              <w:t>学历</w:t>
            </w:r>
          </w:p>
        </w:tc>
        <w:tc>
          <w:tcPr>
            <w:tcW w:w="791" w:type="dxa"/>
            <w:gridSpan w:val="2"/>
            <w:vAlign w:val="center"/>
          </w:tcPr>
          <w:p w14:paraId="3B0B7E8B">
            <w:pPr>
              <w:spacing w:line="300" w:lineRule="auto"/>
              <w:jc w:val="center"/>
              <w:rPr>
                <w:rFonts w:ascii="宋体" w:hAnsi="宋体"/>
                <w:color w:val="auto"/>
                <w:szCs w:val="21"/>
              </w:rPr>
            </w:pPr>
            <w:r>
              <w:rPr>
                <w:rFonts w:hint="eastAsia" w:ascii="宋体" w:hAnsi="宋体"/>
                <w:color w:val="auto"/>
                <w:szCs w:val="21"/>
              </w:rPr>
              <w:t>经验年限</w:t>
            </w:r>
          </w:p>
        </w:tc>
        <w:tc>
          <w:tcPr>
            <w:tcW w:w="1685" w:type="dxa"/>
            <w:vAlign w:val="center"/>
          </w:tcPr>
          <w:p w14:paraId="2A2F598A">
            <w:pPr>
              <w:spacing w:line="300" w:lineRule="auto"/>
              <w:jc w:val="center"/>
              <w:rPr>
                <w:rFonts w:ascii="宋体" w:hAnsi="宋体"/>
                <w:color w:val="auto"/>
                <w:szCs w:val="21"/>
              </w:rPr>
            </w:pPr>
            <w:r>
              <w:rPr>
                <w:rFonts w:hint="eastAsia" w:ascii="宋体" w:hAnsi="宋体"/>
                <w:color w:val="auto"/>
                <w:szCs w:val="21"/>
              </w:rPr>
              <w:t>具有认证资质</w:t>
            </w:r>
          </w:p>
        </w:tc>
      </w:tr>
      <w:tr w14:paraId="246A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14:paraId="3EFBDAC7">
            <w:pPr>
              <w:spacing w:line="300" w:lineRule="auto"/>
              <w:jc w:val="center"/>
              <w:rPr>
                <w:rFonts w:ascii="宋体" w:hAnsi="宋体"/>
                <w:color w:val="auto"/>
                <w:szCs w:val="21"/>
              </w:rPr>
            </w:pPr>
            <w:r>
              <w:rPr>
                <w:rFonts w:ascii="宋体" w:hAnsi="宋体"/>
                <w:color w:val="auto"/>
                <w:szCs w:val="21"/>
              </w:rPr>
              <w:t>…</w:t>
            </w:r>
          </w:p>
        </w:tc>
        <w:tc>
          <w:tcPr>
            <w:tcW w:w="1142" w:type="dxa"/>
            <w:gridSpan w:val="3"/>
            <w:vAlign w:val="center"/>
          </w:tcPr>
          <w:p w14:paraId="203B0015">
            <w:pPr>
              <w:spacing w:line="300" w:lineRule="auto"/>
              <w:jc w:val="center"/>
              <w:rPr>
                <w:rFonts w:ascii="宋体" w:hAnsi="宋体"/>
                <w:color w:val="auto"/>
                <w:szCs w:val="21"/>
              </w:rPr>
            </w:pPr>
            <w:r>
              <w:rPr>
                <w:rFonts w:ascii="宋体" w:hAnsi="宋体"/>
                <w:color w:val="auto"/>
                <w:szCs w:val="21"/>
              </w:rPr>
              <w:t>…</w:t>
            </w:r>
          </w:p>
        </w:tc>
        <w:tc>
          <w:tcPr>
            <w:tcW w:w="1080" w:type="dxa"/>
            <w:gridSpan w:val="3"/>
            <w:vAlign w:val="center"/>
          </w:tcPr>
          <w:p w14:paraId="0F31E28E">
            <w:pPr>
              <w:spacing w:line="300" w:lineRule="auto"/>
              <w:jc w:val="center"/>
              <w:rPr>
                <w:rFonts w:ascii="宋体" w:hAnsi="宋体"/>
                <w:color w:val="auto"/>
                <w:szCs w:val="21"/>
              </w:rPr>
            </w:pPr>
            <w:r>
              <w:rPr>
                <w:rFonts w:ascii="宋体" w:hAnsi="宋体"/>
                <w:color w:val="auto"/>
                <w:szCs w:val="21"/>
              </w:rPr>
              <w:t>…</w:t>
            </w:r>
          </w:p>
        </w:tc>
        <w:tc>
          <w:tcPr>
            <w:tcW w:w="1080" w:type="dxa"/>
            <w:gridSpan w:val="2"/>
            <w:vAlign w:val="center"/>
          </w:tcPr>
          <w:p w14:paraId="39030D4B">
            <w:pPr>
              <w:spacing w:line="300" w:lineRule="auto"/>
              <w:jc w:val="center"/>
              <w:rPr>
                <w:rFonts w:ascii="宋体" w:hAnsi="宋体"/>
                <w:color w:val="auto"/>
                <w:szCs w:val="21"/>
              </w:rPr>
            </w:pPr>
            <w:r>
              <w:rPr>
                <w:rFonts w:ascii="宋体" w:hAnsi="宋体"/>
                <w:color w:val="auto"/>
                <w:szCs w:val="21"/>
              </w:rPr>
              <w:t>…</w:t>
            </w:r>
          </w:p>
        </w:tc>
        <w:tc>
          <w:tcPr>
            <w:tcW w:w="1078" w:type="dxa"/>
            <w:gridSpan w:val="2"/>
            <w:vAlign w:val="center"/>
          </w:tcPr>
          <w:p w14:paraId="3BDFF2B8">
            <w:pPr>
              <w:spacing w:line="300" w:lineRule="auto"/>
              <w:jc w:val="center"/>
              <w:rPr>
                <w:rFonts w:ascii="宋体" w:hAnsi="宋体"/>
                <w:color w:val="auto"/>
                <w:szCs w:val="21"/>
              </w:rPr>
            </w:pPr>
            <w:r>
              <w:rPr>
                <w:rFonts w:ascii="宋体" w:hAnsi="宋体"/>
                <w:color w:val="auto"/>
                <w:szCs w:val="21"/>
              </w:rPr>
              <w:t>…</w:t>
            </w:r>
          </w:p>
        </w:tc>
        <w:tc>
          <w:tcPr>
            <w:tcW w:w="1103" w:type="dxa"/>
            <w:vAlign w:val="center"/>
          </w:tcPr>
          <w:p w14:paraId="49B6B418">
            <w:pPr>
              <w:spacing w:line="300" w:lineRule="auto"/>
              <w:jc w:val="center"/>
              <w:rPr>
                <w:rFonts w:ascii="宋体" w:hAnsi="宋体"/>
                <w:color w:val="auto"/>
                <w:szCs w:val="21"/>
              </w:rPr>
            </w:pPr>
            <w:r>
              <w:rPr>
                <w:rFonts w:ascii="宋体" w:hAnsi="宋体"/>
                <w:color w:val="auto"/>
                <w:szCs w:val="21"/>
              </w:rPr>
              <w:t>…</w:t>
            </w:r>
          </w:p>
        </w:tc>
        <w:tc>
          <w:tcPr>
            <w:tcW w:w="791" w:type="dxa"/>
            <w:gridSpan w:val="2"/>
            <w:vAlign w:val="center"/>
          </w:tcPr>
          <w:p w14:paraId="4C990332">
            <w:pPr>
              <w:spacing w:line="300" w:lineRule="auto"/>
              <w:jc w:val="center"/>
              <w:rPr>
                <w:rFonts w:ascii="宋体" w:hAnsi="宋体"/>
                <w:color w:val="auto"/>
                <w:szCs w:val="21"/>
              </w:rPr>
            </w:pPr>
            <w:r>
              <w:rPr>
                <w:rFonts w:ascii="宋体" w:hAnsi="宋体"/>
                <w:color w:val="auto"/>
                <w:szCs w:val="21"/>
              </w:rPr>
              <w:t>…</w:t>
            </w:r>
          </w:p>
        </w:tc>
        <w:tc>
          <w:tcPr>
            <w:tcW w:w="1685" w:type="dxa"/>
            <w:vAlign w:val="center"/>
          </w:tcPr>
          <w:p w14:paraId="4B026A30">
            <w:pPr>
              <w:spacing w:line="300" w:lineRule="auto"/>
              <w:jc w:val="center"/>
              <w:rPr>
                <w:rFonts w:ascii="宋体" w:hAnsi="宋体"/>
                <w:color w:val="auto"/>
                <w:szCs w:val="21"/>
              </w:rPr>
            </w:pPr>
            <w:r>
              <w:rPr>
                <w:rFonts w:ascii="宋体" w:hAnsi="宋体"/>
                <w:color w:val="auto"/>
                <w:szCs w:val="21"/>
              </w:rPr>
              <w:t>…</w:t>
            </w:r>
          </w:p>
        </w:tc>
      </w:tr>
    </w:tbl>
    <w:p w14:paraId="2307FF7E">
      <w:pPr>
        <w:spacing w:before="120" w:line="300" w:lineRule="auto"/>
        <w:ind w:left="620" w:hanging="620" w:hangingChars="294"/>
        <w:rPr>
          <w:rFonts w:ascii="宋体" w:hAnsi="宋体"/>
          <w:b/>
          <w:color w:val="auto"/>
          <w:szCs w:val="21"/>
        </w:rPr>
      </w:pPr>
      <w:r>
        <w:rPr>
          <w:rFonts w:hint="eastAsia" w:ascii="宋体" w:hAnsi="宋体"/>
          <w:b/>
          <w:color w:val="auto"/>
          <w:szCs w:val="21"/>
        </w:rPr>
        <w:t>注：1.在合同执行期间，成交供应商派出项目负责人和专业专职的主要技术及服务人员，应在上表中列明；</w:t>
      </w:r>
    </w:p>
    <w:p w14:paraId="29EB5919">
      <w:pPr>
        <w:spacing w:before="120" w:line="300" w:lineRule="auto"/>
        <w:ind w:left="614" w:leftChars="200" w:hanging="194" w:hangingChars="92"/>
        <w:rPr>
          <w:rFonts w:ascii="宋体" w:hAnsi="宋体"/>
          <w:b/>
          <w:color w:val="auto"/>
          <w:szCs w:val="21"/>
        </w:rPr>
      </w:pPr>
      <w:r>
        <w:rPr>
          <w:rFonts w:hint="eastAsia" w:ascii="宋体" w:hAnsi="宋体"/>
          <w:b/>
          <w:color w:val="auto"/>
          <w:szCs w:val="21"/>
        </w:rPr>
        <w:t>2.请附上相关证明资料，评审细则另有要求的，按评审细则提供。。</w:t>
      </w:r>
    </w:p>
    <w:p w14:paraId="5F97F3B3">
      <w:pPr>
        <w:spacing w:line="300" w:lineRule="auto"/>
        <w:rPr>
          <w:rFonts w:ascii="宋体" w:hAnsi="宋体"/>
          <w:bCs/>
          <w:color w:val="auto"/>
          <w:szCs w:val="21"/>
        </w:rPr>
      </w:pPr>
      <w:r>
        <w:rPr>
          <w:rFonts w:hint="eastAsia" w:ascii="宋体" w:hAnsi="宋体"/>
          <w:bCs/>
          <w:color w:val="auto"/>
          <w:szCs w:val="21"/>
        </w:rPr>
        <w:t>供应商全称（加盖公章）：</w:t>
      </w:r>
    </w:p>
    <w:p w14:paraId="2CDBB6FD">
      <w:pPr>
        <w:spacing w:line="300" w:lineRule="auto"/>
        <w:rPr>
          <w:rFonts w:ascii="宋体" w:hAnsi="宋体"/>
          <w:bCs/>
          <w:color w:val="auto"/>
          <w:sz w:val="24"/>
        </w:rPr>
      </w:pPr>
      <w:r>
        <w:rPr>
          <w:rFonts w:hint="eastAsia" w:ascii="宋体" w:hAnsi="宋体"/>
          <w:bCs/>
          <w:color w:val="auto"/>
          <w:szCs w:val="21"/>
        </w:rPr>
        <w:t>法定代表人或其供应商授权代表(签字)：               日    期：     年   月   日</w:t>
      </w:r>
    </w:p>
    <w:p w14:paraId="6F645852">
      <w:pPr>
        <w:rPr>
          <w:color w:val="auto"/>
        </w:rPr>
      </w:pPr>
    </w:p>
    <w:p w14:paraId="0C476339">
      <w:pPr>
        <w:pStyle w:val="5"/>
        <w:rPr>
          <w:color w:val="auto"/>
        </w:rPr>
      </w:pPr>
      <w:r>
        <w:rPr>
          <w:rFonts w:hint="eastAsia"/>
          <w:color w:val="auto"/>
        </w:rPr>
        <w:t>格式11                合同条款响应表</w:t>
      </w:r>
    </w:p>
    <w:p w14:paraId="3E42AFF4">
      <w:pPr>
        <w:rPr>
          <w:rFonts w:ascii="宋体"/>
          <w:color w:val="auto"/>
          <w:szCs w:val="21"/>
        </w:rPr>
      </w:pPr>
      <w:r>
        <w:rPr>
          <w:rFonts w:hint="eastAsia" w:ascii="宋体"/>
          <w:color w:val="auto"/>
          <w:szCs w:val="21"/>
        </w:rPr>
        <w:t>项目名称</w:t>
      </w:r>
      <w:r>
        <w:rPr>
          <w:rFonts w:hint="eastAsia" w:ascii="宋体"/>
          <w:color w:val="auto"/>
          <w:kern w:val="28"/>
          <w:szCs w:val="21"/>
        </w:rPr>
        <w:t xml:space="preserve">：                                                </w:t>
      </w:r>
      <w:r>
        <w:rPr>
          <w:rFonts w:ascii="宋体"/>
          <w:color w:val="auto"/>
          <w:szCs w:val="21"/>
        </w:rPr>
        <w:t>项目编号：</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720"/>
        <w:gridCol w:w="2365"/>
        <w:gridCol w:w="2365"/>
      </w:tblGrid>
      <w:tr w14:paraId="44E6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08" w:type="dxa"/>
            <w:vMerge w:val="restart"/>
            <w:vAlign w:val="center"/>
          </w:tcPr>
          <w:p w14:paraId="1607ED1B">
            <w:pPr>
              <w:pStyle w:val="18"/>
              <w:jc w:val="center"/>
              <w:rPr>
                <w:rFonts w:hAnsi="宋体"/>
                <w:color w:val="auto"/>
                <w:szCs w:val="21"/>
              </w:rPr>
            </w:pPr>
            <w:r>
              <w:rPr>
                <w:rFonts w:hint="eastAsia" w:hAnsi="宋体"/>
                <w:color w:val="auto"/>
                <w:szCs w:val="21"/>
              </w:rPr>
              <w:t>序号</w:t>
            </w:r>
          </w:p>
        </w:tc>
        <w:tc>
          <w:tcPr>
            <w:tcW w:w="3720" w:type="dxa"/>
          </w:tcPr>
          <w:p w14:paraId="7339DAA7">
            <w:pPr>
              <w:pStyle w:val="18"/>
              <w:jc w:val="center"/>
              <w:rPr>
                <w:rFonts w:hAnsi="宋体"/>
                <w:color w:val="auto"/>
                <w:szCs w:val="21"/>
              </w:rPr>
            </w:pPr>
            <w:r>
              <w:rPr>
                <w:rFonts w:hint="eastAsia" w:hAnsi="宋体"/>
                <w:color w:val="auto"/>
                <w:szCs w:val="21"/>
              </w:rPr>
              <w:t>磋商文件合同要求</w:t>
            </w:r>
          </w:p>
        </w:tc>
        <w:tc>
          <w:tcPr>
            <w:tcW w:w="4730" w:type="dxa"/>
            <w:gridSpan w:val="2"/>
          </w:tcPr>
          <w:p w14:paraId="2E53B2FF">
            <w:pPr>
              <w:pStyle w:val="18"/>
              <w:jc w:val="center"/>
              <w:rPr>
                <w:rFonts w:hAnsi="宋体"/>
                <w:color w:val="auto"/>
                <w:szCs w:val="21"/>
              </w:rPr>
            </w:pPr>
            <w:r>
              <w:rPr>
                <w:rFonts w:hint="eastAsia" w:hAnsi="宋体"/>
                <w:color w:val="auto"/>
                <w:szCs w:val="21"/>
              </w:rPr>
              <w:t>响应文件内容</w:t>
            </w:r>
          </w:p>
        </w:tc>
      </w:tr>
      <w:tr w14:paraId="4D95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8" w:type="dxa"/>
            <w:vMerge w:val="continue"/>
          </w:tcPr>
          <w:p w14:paraId="2AD85421">
            <w:pPr>
              <w:pStyle w:val="18"/>
              <w:rPr>
                <w:rFonts w:hAnsi="宋体"/>
                <w:color w:val="auto"/>
                <w:szCs w:val="21"/>
              </w:rPr>
            </w:pPr>
          </w:p>
        </w:tc>
        <w:tc>
          <w:tcPr>
            <w:tcW w:w="3720" w:type="dxa"/>
            <w:vAlign w:val="center"/>
          </w:tcPr>
          <w:p w14:paraId="7B066457">
            <w:pPr>
              <w:pStyle w:val="18"/>
              <w:rPr>
                <w:rFonts w:hAnsi="宋体"/>
                <w:color w:val="auto"/>
                <w:szCs w:val="21"/>
              </w:rPr>
            </w:pPr>
            <w:r>
              <w:rPr>
                <w:rFonts w:hint="eastAsia" w:hAnsi="宋体"/>
                <w:color w:val="auto"/>
                <w:szCs w:val="21"/>
              </w:rPr>
              <w:t>简要内容</w:t>
            </w:r>
          </w:p>
        </w:tc>
        <w:tc>
          <w:tcPr>
            <w:tcW w:w="2365" w:type="dxa"/>
          </w:tcPr>
          <w:p w14:paraId="0EAF824F">
            <w:pPr>
              <w:pStyle w:val="18"/>
              <w:jc w:val="center"/>
              <w:rPr>
                <w:rFonts w:hAnsi="宋体"/>
                <w:color w:val="auto"/>
                <w:szCs w:val="21"/>
              </w:rPr>
            </w:pPr>
            <w:r>
              <w:rPr>
                <w:rFonts w:hint="eastAsia" w:hAnsi="宋体"/>
                <w:color w:val="auto"/>
                <w:szCs w:val="21"/>
              </w:rPr>
              <w:t>是否响应</w:t>
            </w:r>
          </w:p>
        </w:tc>
        <w:tc>
          <w:tcPr>
            <w:tcW w:w="2365" w:type="dxa"/>
          </w:tcPr>
          <w:p w14:paraId="38E5A4DC">
            <w:pPr>
              <w:pStyle w:val="18"/>
              <w:ind w:firstLine="420" w:firstLineChars="200"/>
              <w:jc w:val="center"/>
              <w:rPr>
                <w:rFonts w:hAnsi="宋体"/>
                <w:color w:val="auto"/>
                <w:szCs w:val="21"/>
              </w:rPr>
            </w:pPr>
            <w:r>
              <w:rPr>
                <w:rFonts w:hint="eastAsia" w:hAnsi="宋体"/>
                <w:color w:val="auto"/>
                <w:szCs w:val="21"/>
              </w:rPr>
              <w:t>差异说明</w:t>
            </w:r>
          </w:p>
        </w:tc>
      </w:tr>
      <w:tr w14:paraId="3C16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225D8DF">
            <w:pPr>
              <w:pStyle w:val="18"/>
              <w:jc w:val="center"/>
              <w:rPr>
                <w:rFonts w:hAnsi="宋体"/>
                <w:color w:val="auto"/>
                <w:szCs w:val="21"/>
              </w:rPr>
            </w:pPr>
            <w:r>
              <w:rPr>
                <w:rFonts w:hint="eastAsia" w:hAnsi="宋体"/>
                <w:color w:val="auto"/>
                <w:szCs w:val="21"/>
              </w:rPr>
              <w:t>1</w:t>
            </w:r>
          </w:p>
        </w:tc>
        <w:tc>
          <w:tcPr>
            <w:tcW w:w="3720" w:type="dxa"/>
            <w:vAlign w:val="center"/>
          </w:tcPr>
          <w:p w14:paraId="2DECA92D">
            <w:pPr>
              <w:pStyle w:val="18"/>
              <w:rPr>
                <w:rFonts w:hAnsi="宋体"/>
                <w:color w:val="auto"/>
                <w:szCs w:val="21"/>
              </w:rPr>
            </w:pPr>
          </w:p>
        </w:tc>
        <w:tc>
          <w:tcPr>
            <w:tcW w:w="2365" w:type="dxa"/>
          </w:tcPr>
          <w:p w14:paraId="66FD5E1A">
            <w:pPr>
              <w:pStyle w:val="18"/>
              <w:rPr>
                <w:rFonts w:hAnsi="宋体"/>
                <w:color w:val="auto"/>
                <w:szCs w:val="21"/>
              </w:rPr>
            </w:pPr>
          </w:p>
        </w:tc>
        <w:tc>
          <w:tcPr>
            <w:tcW w:w="2365" w:type="dxa"/>
          </w:tcPr>
          <w:p w14:paraId="57BB7ECB">
            <w:pPr>
              <w:pStyle w:val="18"/>
              <w:rPr>
                <w:rFonts w:hAnsi="宋体"/>
                <w:color w:val="auto"/>
                <w:szCs w:val="21"/>
              </w:rPr>
            </w:pPr>
          </w:p>
        </w:tc>
      </w:tr>
      <w:tr w14:paraId="228F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E63B567">
            <w:pPr>
              <w:pStyle w:val="18"/>
              <w:jc w:val="center"/>
              <w:rPr>
                <w:rFonts w:hAnsi="宋体"/>
                <w:color w:val="auto"/>
                <w:szCs w:val="21"/>
              </w:rPr>
            </w:pPr>
            <w:r>
              <w:rPr>
                <w:rFonts w:hint="eastAsia" w:hAnsi="宋体"/>
                <w:color w:val="auto"/>
                <w:szCs w:val="21"/>
              </w:rPr>
              <w:t>2</w:t>
            </w:r>
          </w:p>
        </w:tc>
        <w:tc>
          <w:tcPr>
            <w:tcW w:w="3720" w:type="dxa"/>
            <w:vAlign w:val="center"/>
          </w:tcPr>
          <w:p w14:paraId="04B58C7D">
            <w:pPr>
              <w:pStyle w:val="18"/>
              <w:rPr>
                <w:rFonts w:hAnsi="宋体"/>
                <w:color w:val="auto"/>
                <w:szCs w:val="21"/>
              </w:rPr>
            </w:pPr>
          </w:p>
        </w:tc>
        <w:tc>
          <w:tcPr>
            <w:tcW w:w="2365" w:type="dxa"/>
          </w:tcPr>
          <w:p w14:paraId="127C4BB1">
            <w:pPr>
              <w:pStyle w:val="18"/>
              <w:rPr>
                <w:rFonts w:hAnsi="宋体"/>
                <w:color w:val="auto"/>
                <w:szCs w:val="21"/>
              </w:rPr>
            </w:pPr>
          </w:p>
        </w:tc>
        <w:tc>
          <w:tcPr>
            <w:tcW w:w="2365" w:type="dxa"/>
          </w:tcPr>
          <w:p w14:paraId="63E83627">
            <w:pPr>
              <w:pStyle w:val="18"/>
              <w:rPr>
                <w:rFonts w:hAnsi="宋体"/>
                <w:color w:val="auto"/>
                <w:szCs w:val="21"/>
              </w:rPr>
            </w:pPr>
          </w:p>
        </w:tc>
      </w:tr>
      <w:tr w14:paraId="07A3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8A3F687">
            <w:pPr>
              <w:pStyle w:val="18"/>
              <w:jc w:val="center"/>
              <w:rPr>
                <w:rFonts w:hAnsi="宋体"/>
                <w:color w:val="auto"/>
                <w:szCs w:val="21"/>
              </w:rPr>
            </w:pPr>
            <w:r>
              <w:rPr>
                <w:rFonts w:hAnsi="宋体"/>
                <w:color w:val="auto"/>
                <w:szCs w:val="21"/>
              </w:rPr>
              <w:t>……</w:t>
            </w:r>
          </w:p>
        </w:tc>
        <w:tc>
          <w:tcPr>
            <w:tcW w:w="3720" w:type="dxa"/>
            <w:vAlign w:val="center"/>
          </w:tcPr>
          <w:p w14:paraId="4DBD4208">
            <w:pPr>
              <w:pStyle w:val="18"/>
              <w:rPr>
                <w:rFonts w:hAnsi="宋体"/>
                <w:color w:val="auto"/>
                <w:szCs w:val="21"/>
              </w:rPr>
            </w:pPr>
          </w:p>
        </w:tc>
        <w:tc>
          <w:tcPr>
            <w:tcW w:w="2365" w:type="dxa"/>
          </w:tcPr>
          <w:p w14:paraId="426D7B4A">
            <w:pPr>
              <w:pStyle w:val="18"/>
              <w:rPr>
                <w:rFonts w:hAnsi="宋体"/>
                <w:color w:val="auto"/>
                <w:szCs w:val="21"/>
              </w:rPr>
            </w:pPr>
          </w:p>
        </w:tc>
        <w:tc>
          <w:tcPr>
            <w:tcW w:w="2365" w:type="dxa"/>
          </w:tcPr>
          <w:p w14:paraId="4B311863">
            <w:pPr>
              <w:pStyle w:val="18"/>
              <w:rPr>
                <w:rFonts w:hAnsi="宋体"/>
                <w:color w:val="auto"/>
                <w:szCs w:val="21"/>
              </w:rPr>
            </w:pPr>
          </w:p>
        </w:tc>
      </w:tr>
    </w:tbl>
    <w:p w14:paraId="4E969541">
      <w:pPr>
        <w:spacing w:before="120"/>
        <w:ind w:left="719" w:hanging="719" w:hangingChars="341"/>
        <w:rPr>
          <w:rFonts w:ascii="宋体" w:hAnsi="宋体"/>
          <w:b/>
          <w:color w:val="auto"/>
          <w:szCs w:val="21"/>
        </w:rPr>
      </w:pPr>
      <w:r>
        <w:rPr>
          <w:rFonts w:hint="eastAsia" w:ascii="宋体" w:hAnsi="宋体"/>
          <w:b/>
          <w:color w:val="auto"/>
          <w:szCs w:val="21"/>
        </w:rPr>
        <w:t>注： 1.供应商应对照磋商文件第四章合同条款对应填写，完全满足的在“是否响应”栏中填“响应”；有差异的则在“差异说明”栏中列出差异的具体内容。</w:t>
      </w:r>
    </w:p>
    <w:p w14:paraId="31341458">
      <w:pPr>
        <w:pStyle w:val="18"/>
        <w:ind w:firstLine="517" w:firstLineChars="245"/>
        <w:rPr>
          <w:rFonts w:hAnsi="宋体"/>
          <w:b/>
          <w:color w:val="auto"/>
          <w:szCs w:val="21"/>
        </w:rPr>
      </w:pPr>
      <w:r>
        <w:rPr>
          <w:rFonts w:hint="eastAsia" w:hAnsi="宋体"/>
          <w:b/>
          <w:color w:val="auto"/>
          <w:szCs w:val="21"/>
        </w:rPr>
        <w:t>2.除“差异说明”栏所列的内容以外，其余按《合同书》格式中的条款执行。</w:t>
      </w:r>
    </w:p>
    <w:p w14:paraId="25A8FAA4">
      <w:pPr>
        <w:spacing w:line="300" w:lineRule="auto"/>
        <w:rPr>
          <w:rFonts w:ascii="宋体" w:hAnsi="宋体"/>
          <w:bCs/>
          <w:color w:val="auto"/>
          <w:szCs w:val="21"/>
        </w:rPr>
      </w:pPr>
      <w:r>
        <w:rPr>
          <w:rFonts w:hint="eastAsia" w:ascii="宋体" w:hAnsi="宋体"/>
          <w:bCs/>
          <w:color w:val="auto"/>
          <w:szCs w:val="21"/>
        </w:rPr>
        <w:t>供应商全称（加盖公章）：</w:t>
      </w:r>
    </w:p>
    <w:p w14:paraId="04FE9F4C">
      <w:pPr>
        <w:rPr>
          <w:rFonts w:ascii="宋体" w:hAnsi="宋体"/>
          <w:bCs/>
          <w:color w:val="auto"/>
          <w:szCs w:val="21"/>
        </w:rPr>
      </w:pPr>
      <w:r>
        <w:rPr>
          <w:rFonts w:hint="eastAsia" w:ascii="宋体" w:hAnsi="宋体"/>
          <w:bCs/>
          <w:color w:val="auto"/>
          <w:szCs w:val="21"/>
        </w:rPr>
        <w:t>法定代表人或其供应商授权代表(签字)：               日    期：     年   月   日</w:t>
      </w:r>
    </w:p>
    <w:p w14:paraId="026ADB70">
      <w:pPr>
        <w:rPr>
          <w:rFonts w:ascii="宋体" w:hAnsi="宋体"/>
          <w:bCs/>
          <w:color w:val="auto"/>
          <w:szCs w:val="21"/>
        </w:rPr>
      </w:pPr>
    </w:p>
    <w:p w14:paraId="1AC56F6D">
      <w:pPr>
        <w:pStyle w:val="5"/>
        <w:rPr>
          <w:color w:val="auto"/>
        </w:rPr>
      </w:pPr>
      <w:r>
        <w:rPr>
          <w:rFonts w:hint="eastAsia"/>
          <w:color w:val="auto"/>
        </w:rPr>
        <w:t xml:space="preserve">格式12              缴交招标服务费承诺书 </w:t>
      </w:r>
    </w:p>
    <w:p w14:paraId="664E6FB4">
      <w:pPr>
        <w:spacing w:line="300" w:lineRule="auto"/>
        <w:rPr>
          <w:rFonts w:hint="eastAsia" w:ascii="宋体" w:hAnsi="宋体" w:eastAsia="宋体"/>
          <w:b/>
          <w:color w:val="auto"/>
          <w:szCs w:val="21"/>
          <w:lang w:eastAsia="zh-CN"/>
        </w:rPr>
      </w:pPr>
      <w:r>
        <w:rPr>
          <w:rFonts w:hint="eastAsia" w:ascii="宋体" w:hAnsi="宋体"/>
          <w:color w:val="auto"/>
          <w:szCs w:val="21"/>
        </w:rPr>
        <w:t>致：</w:t>
      </w:r>
      <w:r>
        <w:rPr>
          <w:rFonts w:hint="eastAsia" w:ascii="宋体" w:hAnsi="宋体"/>
          <w:b/>
          <w:color w:val="auto"/>
          <w:szCs w:val="21"/>
          <w:lang w:eastAsia="zh-CN"/>
        </w:rPr>
        <w:t>广州群生招标代理有限公司韶关分公司</w:t>
      </w:r>
    </w:p>
    <w:p w14:paraId="39B0A0D3">
      <w:pPr>
        <w:spacing w:before="240" w:line="300" w:lineRule="auto"/>
        <w:ind w:firstLine="540"/>
        <w:rPr>
          <w:rFonts w:ascii="宋体" w:hAnsi="宋体"/>
          <w:color w:val="auto"/>
          <w:szCs w:val="21"/>
        </w:rPr>
      </w:pPr>
      <w:r>
        <w:rPr>
          <w:rFonts w:hint="eastAsia" w:ascii="宋体" w:hAnsi="宋体"/>
          <w:color w:val="auto"/>
          <w:szCs w:val="21"/>
        </w:rPr>
        <w:t>如果我方在贵公司组织的</w:t>
      </w:r>
      <w:r>
        <w:rPr>
          <w:rFonts w:hint="eastAsia" w:ascii="宋体" w:hAnsi="宋体"/>
          <w:i/>
          <w:color w:val="auto"/>
          <w:szCs w:val="21"/>
          <w:u w:val="single"/>
        </w:rPr>
        <w:t>（项目名称）</w:t>
      </w:r>
      <w:r>
        <w:rPr>
          <w:rFonts w:hint="eastAsia" w:ascii="宋体" w:hAnsi="宋体"/>
          <w:color w:val="auto"/>
          <w:szCs w:val="21"/>
        </w:rPr>
        <w:t>（项目编号：</w:t>
      </w:r>
      <w:r>
        <w:rPr>
          <w:rFonts w:hint="eastAsia" w:ascii="宋体" w:hAnsi="宋体"/>
          <w:color w:val="auto"/>
          <w:szCs w:val="21"/>
          <w:u w:val="single"/>
        </w:rPr>
        <w:t xml:space="preserve">             </w:t>
      </w:r>
      <w:r>
        <w:rPr>
          <w:rFonts w:hint="eastAsia" w:ascii="宋体" w:hAnsi="宋体"/>
          <w:color w:val="auto"/>
          <w:szCs w:val="21"/>
        </w:rPr>
        <w:t>）的货物及服务招标中获成交，我方保证在收到《成交通知书》之前向贵公司交纳成交服务费（按国家计委（计价格[2002]1980号）文件规定执行）。</w:t>
      </w:r>
    </w:p>
    <w:p w14:paraId="65D4D2B7">
      <w:pPr>
        <w:spacing w:before="240" w:line="300" w:lineRule="auto"/>
        <w:ind w:firstLine="539"/>
        <w:rPr>
          <w:rFonts w:ascii="宋体" w:hAnsi="宋体"/>
          <w:color w:val="auto"/>
          <w:szCs w:val="21"/>
        </w:rPr>
      </w:pPr>
      <w:r>
        <w:rPr>
          <w:rFonts w:hint="eastAsia" w:ascii="宋体" w:hAnsi="宋体"/>
          <w:color w:val="auto"/>
          <w:szCs w:val="21"/>
        </w:rPr>
        <w:t>我方如违反上款承诺，愿凭贵公司开出的相关通知，按上述承诺金额的200％在我方提交的磋商保证金及买方根据成交合同约定支付给我方的合同款中扣付，并在此同意和要求投标保函开立银行及买方（应</w:t>
      </w:r>
      <w:r>
        <w:rPr>
          <w:rFonts w:hint="eastAsia" w:ascii="宋体" w:hAnsi="宋体"/>
          <w:b/>
          <w:color w:val="auto"/>
          <w:szCs w:val="21"/>
          <w:lang w:eastAsia="zh-CN"/>
        </w:rPr>
        <w:t>广州群生招标代理有限公司韶关分公司</w:t>
      </w:r>
      <w:r>
        <w:rPr>
          <w:rFonts w:hint="eastAsia" w:ascii="宋体" w:hAnsi="宋体"/>
          <w:color w:val="auto"/>
          <w:szCs w:val="21"/>
        </w:rPr>
        <w:t>的要求）办理支付手续。</w:t>
      </w:r>
    </w:p>
    <w:p w14:paraId="24C0CDFD">
      <w:pPr>
        <w:spacing w:line="300" w:lineRule="auto"/>
        <w:ind w:firstLine="540"/>
        <w:rPr>
          <w:rFonts w:ascii="宋体" w:hAnsi="宋体"/>
          <w:color w:val="auto"/>
          <w:szCs w:val="21"/>
        </w:rPr>
      </w:pPr>
      <w:r>
        <w:rPr>
          <w:rFonts w:hint="eastAsia" w:ascii="宋体" w:hAnsi="宋体"/>
          <w:color w:val="auto"/>
          <w:szCs w:val="21"/>
        </w:rPr>
        <w:t>特此承诺！</w:t>
      </w:r>
    </w:p>
    <w:p w14:paraId="0B964F1A">
      <w:pPr>
        <w:spacing w:line="300" w:lineRule="auto"/>
        <w:rPr>
          <w:rFonts w:ascii="宋体" w:hAnsi="宋体"/>
          <w:bCs/>
          <w:color w:val="auto"/>
          <w:szCs w:val="21"/>
        </w:rPr>
      </w:pPr>
      <w:r>
        <w:rPr>
          <w:rFonts w:hint="eastAsia" w:ascii="宋体" w:hAnsi="宋体"/>
          <w:bCs/>
          <w:color w:val="auto"/>
          <w:szCs w:val="21"/>
        </w:rPr>
        <w:t>供应商全称（加盖公章）：</w:t>
      </w:r>
    </w:p>
    <w:p w14:paraId="01807DB3">
      <w:pPr>
        <w:pStyle w:val="18"/>
        <w:spacing w:line="300" w:lineRule="auto"/>
        <w:outlineLvl w:val="0"/>
        <w:rPr>
          <w:rFonts w:hAnsi="宋体"/>
          <w:bCs/>
          <w:color w:val="auto"/>
          <w:szCs w:val="21"/>
        </w:rPr>
      </w:pPr>
      <w:r>
        <w:rPr>
          <w:rFonts w:hint="eastAsia" w:hAnsi="宋体"/>
          <w:bCs/>
          <w:color w:val="auto"/>
          <w:szCs w:val="21"/>
        </w:rPr>
        <w:t>法定代表人或其供应商授权代表(签字)：               日    期：     年   月   日</w:t>
      </w:r>
    </w:p>
    <w:p w14:paraId="2C410D1F">
      <w:pPr>
        <w:pStyle w:val="3"/>
        <w:spacing w:line="240" w:lineRule="auto"/>
        <w:ind w:left="57" w:hanging="238"/>
        <w:rPr>
          <w:color w:val="auto"/>
          <w:sz w:val="32"/>
        </w:rPr>
      </w:pPr>
      <w:r>
        <w:rPr>
          <w:rFonts w:hint="eastAsia"/>
          <w:color w:val="auto"/>
          <w:sz w:val="32"/>
        </w:rPr>
        <w:t>四、技术响应文件</w:t>
      </w:r>
    </w:p>
    <w:p w14:paraId="362D90D6">
      <w:pPr>
        <w:pStyle w:val="5"/>
        <w:snapToGrid w:val="0"/>
        <w:spacing w:after="0" w:line="377" w:lineRule="auto"/>
        <w:rPr>
          <w:color w:val="auto"/>
        </w:rPr>
      </w:pPr>
      <w:r>
        <w:rPr>
          <w:rFonts w:hint="eastAsia"/>
          <w:color w:val="auto"/>
        </w:rPr>
        <w:t>1、格式13                  技术方案</w:t>
      </w:r>
    </w:p>
    <w:p w14:paraId="04015FE1">
      <w:pPr>
        <w:rPr>
          <w:rFonts w:ascii="宋体" w:hAnsi="宋体"/>
          <w:color w:val="auto"/>
          <w:szCs w:val="21"/>
          <w:u w:val="double"/>
        </w:rPr>
      </w:pPr>
      <w:r>
        <w:rPr>
          <w:rFonts w:hint="eastAsia" w:ascii="宋体" w:hAnsi="宋体"/>
          <w:color w:val="auto"/>
          <w:szCs w:val="21"/>
          <w:u w:val="double"/>
        </w:rPr>
        <w:t>按技术评审细则要求提供（格式自定）：</w:t>
      </w:r>
    </w:p>
    <w:p w14:paraId="2B271B93">
      <w:pPr>
        <w:ind w:firstLine="422" w:firstLineChars="200"/>
        <w:rPr>
          <w:rFonts w:ascii="宋体" w:hAnsi="宋体"/>
          <w:b/>
          <w:bCs/>
          <w:color w:val="auto"/>
          <w:szCs w:val="21"/>
        </w:rPr>
      </w:pPr>
    </w:p>
    <w:p w14:paraId="0402C09F">
      <w:pPr>
        <w:pStyle w:val="3"/>
        <w:spacing w:line="440" w:lineRule="exact"/>
        <w:rPr>
          <w:color w:val="auto"/>
        </w:rPr>
      </w:pPr>
      <w:r>
        <w:rPr>
          <w:rFonts w:hint="eastAsia"/>
          <w:color w:val="auto"/>
        </w:rPr>
        <w:t>2</w:t>
      </w:r>
      <w:r>
        <w:rPr>
          <w:rFonts w:hint="eastAsia"/>
          <w:color w:val="auto"/>
          <w:szCs w:val="22"/>
        </w:rPr>
        <w:t>、供应商认为需要提交的其他技术资料</w:t>
      </w:r>
    </w:p>
    <w:sectPr>
      <w:headerReference r:id="rId10" w:type="default"/>
      <w:footerReference r:id="rId11" w:type="default"/>
      <w:type w:val="continuous"/>
      <w:pgSz w:w="11906" w:h="16838"/>
      <w:pgMar w:top="1191" w:right="1191" w:bottom="1191" w:left="1247" w:header="73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JEIUCH+ËÎÌå">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F255D">
    <w:pPr>
      <w:pStyle w:val="23"/>
      <w:ind w:right="-388" w:rightChars="-185"/>
      <w:jc w:val="right"/>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4455">
    <w:pPr>
      <w:pStyle w:val="23"/>
      <w:ind w:firstLine="1800" w:firstLineChars="100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58872">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8E58872">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-172720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3.6pt;height:0pt;width:0.05pt;z-index:251659264;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Be8YzRAAAABQEA&#10;AA8AAAAAAAAAAQAgAAAAIgAAAGRycy9kb3ducmV2LnhtbFBLAQIUABQAAAAIAIdO4kD5met26AEA&#10;ANQDAAAOAAAAAAAAAAEAIAAAACABAABkcnMvZTJvRG9jLnhtbFBLBQYAAAAABgAGAFkBAAB6BQAA&#10;AAA=&#10;">
              <v:fill on="f" focussize="0,0"/>
              <v:stroke color="#000000" joinstyle="round"/>
              <v:imagedata o:title=""/>
              <o:lock v:ext="edit" aspectratio="f"/>
            </v:line>
          </w:pict>
        </mc:Fallback>
      </mc:AlternateContent>
    </w:r>
    <w:r>
      <w:rPr>
        <w:rFonts w:hint="eastAsia"/>
      </w:rPr>
      <w:t xml:space="preserve">                                                   广州群生招标代理有限公司  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D81F">
    <w:pPr>
      <w:pStyle w:val="23"/>
      <w:jc w:val="right"/>
    </w:pPr>
    <w:r>
      <w:rPr>
        <w:rFonts w:hint="eastAsia"/>
        <w:lang w:eastAsia="zh-CN"/>
      </w:rPr>
      <w:t>广州群生招标代理有限公司韶关分公司</w:t>
    </w:r>
    <w:r>
      <w:t>编制</w: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C09D7">
                          <w:r>
                            <w:rPr>
                              <w:rFonts w:hint="eastAsia" w:ascii="宋体" w:hAnsi="宋体" w:cs="宋体"/>
                              <w:sz w:val="18"/>
                              <w:szCs w:val="16"/>
                            </w:rPr>
                            <w:fldChar w:fldCharType="begin"/>
                          </w:r>
                          <w:r>
                            <w:rPr>
                              <w:rFonts w:hint="eastAsia" w:ascii="宋体" w:hAnsi="宋体" w:cs="宋体"/>
                              <w:sz w:val="18"/>
                              <w:szCs w:val="16"/>
                            </w:rPr>
                            <w:instrText xml:space="preserve"> PAGE  \* MERGEFORMAT </w:instrText>
                          </w:r>
                          <w:r>
                            <w:rPr>
                              <w:rFonts w:hint="eastAsia" w:ascii="宋体" w:hAnsi="宋体" w:cs="宋体"/>
                              <w:sz w:val="18"/>
                              <w:szCs w:val="16"/>
                            </w:rPr>
                            <w:fldChar w:fldCharType="separate"/>
                          </w:r>
                          <w:r>
                            <w:rPr>
                              <w:rFonts w:hint="eastAsia" w:ascii="宋体" w:hAnsi="宋体" w:cs="宋体"/>
                              <w:sz w:val="18"/>
                              <w:szCs w:val="16"/>
                            </w:rPr>
                            <w:t>2</w:t>
                          </w:r>
                          <w:r>
                            <w:rPr>
                              <w:rFonts w:hint="eastAsia" w:ascii="宋体" w:hAnsi="宋体" w:cs="宋体"/>
                              <w:sz w:val="18"/>
                              <w:szCs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21C09D7">
                    <w:r>
                      <w:rPr>
                        <w:rFonts w:hint="eastAsia" w:ascii="宋体" w:hAnsi="宋体" w:cs="宋体"/>
                        <w:sz w:val="18"/>
                        <w:szCs w:val="16"/>
                      </w:rPr>
                      <w:fldChar w:fldCharType="begin"/>
                    </w:r>
                    <w:r>
                      <w:rPr>
                        <w:rFonts w:hint="eastAsia" w:ascii="宋体" w:hAnsi="宋体" w:cs="宋体"/>
                        <w:sz w:val="18"/>
                        <w:szCs w:val="16"/>
                      </w:rPr>
                      <w:instrText xml:space="preserve"> PAGE  \* MERGEFORMAT </w:instrText>
                    </w:r>
                    <w:r>
                      <w:rPr>
                        <w:rFonts w:hint="eastAsia" w:ascii="宋体" w:hAnsi="宋体" w:cs="宋体"/>
                        <w:sz w:val="18"/>
                        <w:szCs w:val="16"/>
                      </w:rPr>
                      <w:fldChar w:fldCharType="separate"/>
                    </w:r>
                    <w:r>
                      <w:rPr>
                        <w:rFonts w:hint="eastAsia" w:ascii="宋体" w:hAnsi="宋体" w:cs="宋体"/>
                        <w:sz w:val="18"/>
                        <w:szCs w:val="16"/>
                      </w:rPr>
                      <w:t>2</w:t>
                    </w:r>
                    <w:r>
                      <w:rPr>
                        <w:rFonts w:hint="eastAsia" w:ascii="宋体" w:hAnsi="宋体" w:cs="宋体"/>
                        <w:sz w:val="18"/>
                        <w:szCs w:val="1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E7F6">
    <w:pPr>
      <w:pStyle w:val="65"/>
      <w:ind w:firstLine="1530" w:firstLineChars="8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CE042">
                          <w:r>
                            <w:rPr>
                              <w:rFonts w:hint="eastAsia" w:ascii="宋体" w:hAnsi="宋体" w:cs="宋体"/>
                              <w:sz w:val="18"/>
                              <w:szCs w:val="16"/>
                            </w:rPr>
                            <w:fldChar w:fldCharType="begin"/>
                          </w:r>
                          <w:r>
                            <w:rPr>
                              <w:rFonts w:hint="eastAsia" w:ascii="宋体" w:hAnsi="宋体" w:cs="宋体"/>
                              <w:sz w:val="18"/>
                              <w:szCs w:val="16"/>
                            </w:rPr>
                            <w:instrText xml:space="preserve"> PAGE  \* MERGEFORMAT </w:instrText>
                          </w:r>
                          <w:r>
                            <w:rPr>
                              <w:rFonts w:hint="eastAsia" w:ascii="宋体" w:hAnsi="宋体" w:cs="宋体"/>
                              <w:sz w:val="18"/>
                              <w:szCs w:val="16"/>
                            </w:rPr>
                            <w:fldChar w:fldCharType="separate"/>
                          </w:r>
                          <w:r>
                            <w:rPr>
                              <w:rFonts w:hint="eastAsia" w:ascii="宋体" w:hAnsi="宋体" w:cs="宋体"/>
                              <w:sz w:val="18"/>
                              <w:szCs w:val="16"/>
                            </w:rPr>
                            <w:t>26</w:t>
                          </w:r>
                          <w:r>
                            <w:rPr>
                              <w:rFonts w:hint="eastAsia" w:ascii="宋体" w:hAnsi="宋体" w:cs="宋体"/>
                              <w:sz w:val="18"/>
                              <w:szCs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2BCE042">
                    <w:r>
                      <w:rPr>
                        <w:rFonts w:hint="eastAsia" w:ascii="宋体" w:hAnsi="宋体" w:cs="宋体"/>
                        <w:sz w:val="18"/>
                        <w:szCs w:val="16"/>
                      </w:rPr>
                      <w:fldChar w:fldCharType="begin"/>
                    </w:r>
                    <w:r>
                      <w:rPr>
                        <w:rFonts w:hint="eastAsia" w:ascii="宋体" w:hAnsi="宋体" w:cs="宋体"/>
                        <w:sz w:val="18"/>
                        <w:szCs w:val="16"/>
                      </w:rPr>
                      <w:instrText xml:space="preserve"> PAGE  \* MERGEFORMAT </w:instrText>
                    </w:r>
                    <w:r>
                      <w:rPr>
                        <w:rFonts w:hint="eastAsia" w:ascii="宋体" w:hAnsi="宋体" w:cs="宋体"/>
                        <w:sz w:val="18"/>
                        <w:szCs w:val="16"/>
                      </w:rPr>
                      <w:fldChar w:fldCharType="separate"/>
                    </w:r>
                    <w:r>
                      <w:rPr>
                        <w:rFonts w:hint="eastAsia" w:ascii="宋体" w:hAnsi="宋体" w:cs="宋体"/>
                        <w:sz w:val="18"/>
                        <w:szCs w:val="16"/>
                      </w:rPr>
                      <w:t>26</w:t>
                    </w:r>
                    <w:r>
                      <w:rPr>
                        <w:rFonts w:hint="eastAsia" w:ascii="宋体" w:hAnsi="宋体" w:cs="宋体"/>
                        <w:sz w:val="18"/>
                        <w:szCs w:val="16"/>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75DF9">
                          <w:pPr>
                            <w:pStyle w:val="23"/>
                          </w:pPr>
                        </w:p>
                        <w:p w14:paraId="033A762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7B75DF9">
                    <w:pPr>
                      <w:pStyle w:val="23"/>
                    </w:pPr>
                  </w:p>
                  <w:p w14:paraId="033A762A"/>
                </w:txbxContent>
              </v:textbox>
            </v:shape>
          </w:pict>
        </mc:Fallback>
      </mc:AlternateContent>
    </w:r>
    <w:r>
      <w:t xml:space="preserve">                    </w:t>
    </w:r>
    <w:r>
      <w:rPr>
        <w:rFonts w:hint="eastAsia"/>
      </w:rPr>
      <w:t xml:space="preserve">  </w:t>
    </w:r>
    <w:r>
      <w:t xml:space="preserve">            </w:t>
    </w:r>
    <w:r>
      <w:rPr>
        <w:rFonts w:hint="eastAsia"/>
      </w:rPr>
      <w:t xml:space="preserve">   </w:t>
    </w:r>
    <w:r>
      <w:rPr>
        <w:rFonts w:hint="eastAsia"/>
        <w:lang w:eastAsia="zh-CN"/>
      </w:rPr>
      <w:t>广州群生招标代理有限公司韶关分公司</w:t>
    </w:r>
    <w: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9A518">
    <w:pPr>
      <w:pStyle w:val="15"/>
      <w:pBdr>
        <w:bottom w:val="thickThinSmallGap" w:color="auto" w:sz="12" w:space="0"/>
      </w:pBdr>
      <w:snapToGrid w:val="0"/>
      <w:jc w:val="center"/>
      <w:rPr>
        <w:color w:val="000000"/>
        <w:sz w:val="18"/>
        <w:szCs w:val="18"/>
      </w:rPr>
    </w:pPr>
    <w:r>
      <w:rPr>
        <w:rFonts w:hint="eastAsia" w:ascii="微软雅黑" w:hAnsi="微软雅黑" w:eastAsia="微软雅黑" w:cs="微软雅黑"/>
        <w:bCs/>
        <w:sz w:val="18"/>
        <w:szCs w:val="18"/>
        <w:lang w:eastAsia="zh-CN"/>
      </w:rPr>
      <w:t>广裕集团韶关北江实业有限责任公司收押中心（首层）改造车间项目</w:t>
    </w:r>
    <w:r>
      <w:rPr>
        <w:rFonts w:ascii="微软雅黑" w:hAnsi="微软雅黑" w:eastAsia="微软雅黑" w:cs="微软雅黑"/>
        <w:b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6223">
    <w:pPr>
      <w:pStyle w:val="24"/>
      <w:pBdr>
        <w:bottom w:val="none" w:color="auto" w:sz="0" w:space="0"/>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9E083">
    <w:pPr>
      <w:pStyle w:val="24"/>
      <w:spacing w:line="240" w:lineRule="auto"/>
      <w:rPr>
        <w:rFonts w:hint="default"/>
      </w:rPr>
    </w:pPr>
    <w:r>
      <w:rPr>
        <w:rFonts w:hint="eastAsia"/>
        <w:lang w:eastAsia="zh-CN"/>
      </w:rPr>
      <w:t>广裕集团韶关北江实业有限责任公司收押中心（首层）改造车间项目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E28B">
    <w:pPr>
      <w:pStyle w:val="24"/>
      <w:pBdr>
        <w:bottom w:val="none" w:color="auto" w:sz="0" w:space="0"/>
      </w:pBdr>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0DB18">
    <w:pPr>
      <w:pStyle w:val="24"/>
      <w:spacing w:line="240" w:lineRule="auto"/>
      <w:rPr>
        <w:rFonts w:hint="default"/>
      </w:rPr>
    </w:pPr>
    <w:r>
      <w:rPr>
        <w:rFonts w:hint="eastAsia"/>
        <w:lang w:eastAsia="zh-CN"/>
      </w:rPr>
      <w:t>广裕集团韶关北江实业有限责任公司收押中心（首层）改造车间项目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5"/>
      <w:numFmt w:val="chineseCounting"/>
      <w:suff w:val="nothing"/>
      <w:lvlText w:val="%1、"/>
      <w:lvlJc w:val="left"/>
    </w:lvl>
  </w:abstractNum>
  <w:abstractNum w:abstractNumId="1">
    <w:nsid w:val="22AE30C3"/>
    <w:multiLevelType w:val="multilevel"/>
    <w:tmpl w:val="22AE30C3"/>
    <w:lvl w:ilvl="0" w:tentative="0">
      <w:start w:val="1"/>
      <w:numFmt w:val="decimal"/>
      <w:lvlText w:val="%1."/>
      <w:lvlJc w:val="left"/>
      <w:pPr>
        <w:tabs>
          <w:tab w:val="left" w:pos="425"/>
        </w:tabs>
        <w:ind w:left="425" w:hanging="425"/>
      </w:pPr>
      <w:rPr>
        <w:rFonts w:hint="eastAsia"/>
        <w:b/>
        <w:i w:val="0"/>
        <w:sz w:val="21"/>
        <w:szCs w:val="21"/>
      </w:rPr>
    </w:lvl>
    <w:lvl w:ilvl="1" w:tentative="0">
      <w:start w:val="1"/>
      <w:numFmt w:val="decimal"/>
      <w:lvlText w:val="%1.%2."/>
      <w:lvlJc w:val="left"/>
      <w:pPr>
        <w:tabs>
          <w:tab w:val="left" w:pos="567"/>
        </w:tabs>
        <w:ind w:left="567" w:hanging="567"/>
      </w:pPr>
      <w:rPr>
        <w:rFonts w:hint="eastAsia" w:ascii="宋体" w:hAnsi="宋体" w:eastAsia="宋体"/>
        <w:b/>
        <w:i w:val="0"/>
        <w:sz w:val="21"/>
        <w:szCs w:val="21"/>
      </w:rPr>
    </w:lvl>
    <w:lvl w:ilvl="2" w:tentative="0">
      <w:start w:val="1"/>
      <w:numFmt w:val="decimal"/>
      <w:lvlText w:val="%1.%2.%3."/>
      <w:lvlJc w:val="left"/>
      <w:pPr>
        <w:tabs>
          <w:tab w:val="left" w:pos="624"/>
        </w:tabs>
        <w:ind w:left="624" w:hanging="624"/>
      </w:pPr>
      <w:rPr>
        <w:rFonts w:hint="eastAsia" w:ascii="宋体" w:eastAsia="宋体"/>
        <w:b w:val="0"/>
        <w:i w:val="0"/>
        <w:color w:val="auto"/>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320366CC"/>
    <w:multiLevelType w:val="multilevel"/>
    <w:tmpl w:val="320366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yNmNhNGE4MDMwYWIxNTZlNjZlM2QwYmVmNDlhMjMifQ=="/>
  </w:docVars>
  <w:rsids>
    <w:rsidRoot w:val="00172A27"/>
    <w:rsid w:val="00001636"/>
    <w:rsid w:val="00001CF8"/>
    <w:rsid w:val="000066CF"/>
    <w:rsid w:val="0000697F"/>
    <w:rsid w:val="00007082"/>
    <w:rsid w:val="00010B31"/>
    <w:rsid w:val="00013DC8"/>
    <w:rsid w:val="00014C1B"/>
    <w:rsid w:val="00014DD0"/>
    <w:rsid w:val="00015458"/>
    <w:rsid w:val="00015EBB"/>
    <w:rsid w:val="00016237"/>
    <w:rsid w:val="000167A7"/>
    <w:rsid w:val="00016D5B"/>
    <w:rsid w:val="00023ACE"/>
    <w:rsid w:val="0002470E"/>
    <w:rsid w:val="00026E6B"/>
    <w:rsid w:val="000342BA"/>
    <w:rsid w:val="00034C0F"/>
    <w:rsid w:val="000363A7"/>
    <w:rsid w:val="00040261"/>
    <w:rsid w:val="000402E0"/>
    <w:rsid w:val="00040AF2"/>
    <w:rsid w:val="0004172C"/>
    <w:rsid w:val="00043B80"/>
    <w:rsid w:val="00044476"/>
    <w:rsid w:val="00046348"/>
    <w:rsid w:val="00046891"/>
    <w:rsid w:val="00046CE7"/>
    <w:rsid w:val="00051628"/>
    <w:rsid w:val="00052C12"/>
    <w:rsid w:val="00052E4D"/>
    <w:rsid w:val="0005378E"/>
    <w:rsid w:val="00053960"/>
    <w:rsid w:val="000600B4"/>
    <w:rsid w:val="0006384E"/>
    <w:rsid w:val="00063D6E"/>
    <w:rsid w:val="00063E89"/>
    <w:rsid w:val="00065938"/>
    <w:rsid w:val="00065B3B"/>
    <w:rsid w:val="00066B1F"/>
    <w:rsid w:val="000670CD"/>
    <w:rsid w:val="0006795B"/>
    <w:rsid w:val="000709D2"/>
    <w:rsid w:val="0007145F"/>
    <w:rsid w:val="000732A6"/>
    <w:rsid w:val="00074948"/>
    <w:rsid w:val="00074D28"/>
    <w:rsid w:val="0007604C"/>
    <w:rsid w:val="00076442"/>
    <w:rsid w:val="000776E1"/>
    <w:rsid w:val="0008032E"/>
    <w:rsid w:val="0008252C"/>
    <w:rsid w:val="00084B26"/>
    <w:rsid w:val="00086961"/>
    <w:rsid w:val="00090A48"/>
    <w:rsid w:val="0009197F"/>
    <w:rsid w:val="00092A43"/>
    <w:rsid w:val="00093AC0"/>
    <w:rsid w:val="000944CE"/>
    <w:rsid w:val="000957EA"/>
    <w:rsid w:val="000A09C0"/>
    <w:rsid w:val="000A0BEA"/>
    <w:rsid w:val="000A74F5"/>
    <w:rsid w:val="000B05D7"/>
    <w:rsid w:val="000B148B"/>
    <w:rsid w:val="000B2146"/>
    <w:rsid w:val="000B239D"/>
    <w:rsid w:val="000B23AA"/>
    <w:rsid w:val="000B245E"/>
    <w:rsid w:val="000B3575"/>
    <w:rsid w:val="000B3AE0"/>
    <w:rsid w:val="000B4C97"/>
    <w:rsid w:val="000B52BE"/>
    <w:rsid w:val="000B55FE"/>
    <w:rsid w:val="000B5D1D"/>
    <w:rsid w:val="000B5E42"/>
    <w:rsid w:val="000B7149"/>
    <w:rsid w:val="000B7246"/>
    <w:rsid w:val="000C04F0"/>
    <w:rsid w:val="000C1C30"/>
    <w:rsid w:val="000C1FE0"/>
    <w:rsid w:val="000C3E16"/>
    <w:rsid w:val="000C45DD"/>
    <w:rsid w:val="000C504F"/>
    <w:rsid w:val="000C76BD"/>
    <w:rsid w:val="000C774C"/>
    <w:rsid w:val="000D12B2"/>
    <w:rsid w:val="000D25D3"/>
    <w:rsid w:val="000D3688"/>
    <w:rsid w:val="000D4F71"/>
    <w:rsid w:val="000D69BF"/>
    <w:rsid w:val="000D76A4"/>
    <w:rsid w:val="000E05BC"/>
    <w:rsid w:val="000E0AE2"/>
    <w:rsid w:val="000E1247"/>
    <w:rsid w:val="000E1597"/>
    <w:rsid w:val="000E1D36"/>
    <w:rsid w:val="000E2357"/>
    <w:rsid w:val="000E2766"/>
    <w:rsid w:val="000E2D70"/>
    <w:rsid w:val="000E37EC"/>
    <w:rsid w:val="000E7279"/>
    <w:rsid w:val="000F040C"/>
    <w:rsid w:val="000F2F90"/>
    <w:rsid w:val="000F5D03"/>
    <w:rsid w:val="000F6EEF"/>
    <w:rsid w:val="000F7F92"/>
    <w:rsid w:val="001016BD"/>
    <w:rsid w:val="00101830"/>
    <w:rsid w:val="0010203E"/>
    <w:rsid w:val="00102E56"/>
    <w:rsid w:val="00103C13"/>
    <w:rsid w:val="00104DA5"/>
    <w:rsid w:val="00105A6A"/>
    <w:rsid w:val="00106C39"/>
    <w:rsid w:val="0010784C"/>
    <w:rsid w:val="00107944"/>
    <w:rsid w:val="001114A7"/>
    <w:rsid w:val="00111F49"/>
    <w:rsid w:val="00112D98"/>
    <w:rsid w:val="00113101"/>
    <w:rsid w:val="00113BF6"/>
    <w:rsid w:val="00113EDC"/>
    <w:rsid w:val="00114959"/>
    <w:rsid w:val="0011538F"/>
    <w:rsid w:val="00116D35"/>
    <w:rsid w:val="00120503"/>
    <w:rsid w:val="001306E4"/>
    <w:rsid w:val="00131318"/>
    <w:rsid w:val="0013370B"/>
    <w:rsid w:val="001338F6"/>
    <w:rsid w:val="00133B4A"/>
    <w:rsid w:val="0013437D"/>
    <w:rsid w:val="00136820"/>
    <w:rsid w:val="0014016A"/>
    <w:rsid w:val="00140B8A"/>
    <w:rsid w:val="0014129D"/>
    <w:rsid w:val="00141557"/>
    <w:rsid w:val="001420DC"/>
    <w:rsid w:val="00142BDD"/>
    <w:rsid w:val="00147647"/>
    <w:rsid w:val="0015264B"/>
    <w:rsid w:val="00152C03"/>
    <w:rsid w:val="00153BDE"/>
    <w:rsid w:val="00153D4A"/>
    <w:rsid w:val="00153DEE"/>
    <w:rsid w:val="0015440A"/>
    <w:rsid w:val="00154894"/>
    <w:rsid w:val="00155053"/>
    <w:rsid w:val="0015516C"/>
    <w:rsid w:val="00160121"/>
    <w:rsid w:val="001601ED"/>
    <w:rsid w:val="00160E4B"/>
    <w:rsid w:val="00161327"/>
    <w:rsid w:val="001619EC"/>
    <w:rsid w:val="00162996"/>
    <w:rsid w:val="00162DDB"/>
    <w:rsid w:val="00162E02"/>
    <w:rsid w:val="0016379C"/>
    <w:rsid w:val="00163AF2"/>
    <w:rsid w:val="0016505C"/>
    <w:rsid w:val="001650E5"/>
    <w:rsid w:val="001667CC"/>
    <w:rsid w:val="0016692B"/>
    <w:rsid w:val="001675F1"/>
    <w:rsid w:val="00170B68"/>
    <w:rsid w:val="00170FC9"/>
    <w:rsid w:val="00172A27"/>
    <w:rsid w:val="00172BE4"/>
    <w:rsid w:val="00175EF9"/>
    <w:rsid w:val="001761A9"/>
    <w:rsid w:val="001771C8"/>
    <w:rsid w:val="0017770D"/>
    <w:rsid w:val="00180343"/>
    <w:rsid w:val="00180642"/>
    <w:rsid w:val="0018134F"/>
    <w:rsid w:val="00181DAA"/>
    <w:rsid w:val="00183D8C"/>
    <w:rsid w:val="00184514"/>
    <w:rsid w:val="00184E3E"/>
    <w:rsid w:val="0018519A"/>
    <w:rsid w:val="001863B6"/>
    <w:rsid w:val="00186B60"/>
    <w:rsid w:val="001902CD"/>
    <w:rsid w:val="00191844"/>
    <w:rsid w:val="0019666D"/>
    <w:rsid w:val="00197A43"/>
    <w:rsid w:val="001A3539"/>
    <w:rsid w:val="001A61F2"/>
    <w:rsid w:val="001A7093"/>
    <w:rsid w:val="001B0DEC"/>
    <w:rsid w:val="001B1FB8"/>
    <w:rsid w:val="001B5113"/>
    <w:rsid w:val="001B66C8"/>
    <w:rsid w:val="001B72C1"/>
    <w:rsid w:val="001B73E2"/>
    <w:rsid w:val="001B7EB8"/>
    <w:rsid w:val="001C20B4"/>
    <w:rsid w:val="001C38F9"/>
    <w:rsid w:val="001C3B75"/>
    <w:rsid w:val="001C5FDD"/>
    <w:rsid w:val="001D1E61"/>
    <w:rsid w:val="001D3097"/>
    <w:rsid w:val="001D45AF"/>
    <w:rsid w:val="001D5514"/>
    <w:rsid w:val="001D610B"/>
    <w:rsid w:val="001D64BB"/>
    <w:rsid w:val="001E1C0D"/>
    <w:rsid w:val="001E4002"/>
    <w:rsid w:val="001E53D9"/>
    <w:rsid w:val="001E612C"/>
    <w:rsid w:val="001E665A"/>
    <w:rsid w:val="001F0004"/>
    <w:rsid w:val="001F177C"/>
    <w:rsid w:val="001F3076"/>
    <w:rsid w:val="001F3898"/>
    <w:rsid w:val="001F3DE5"/>
    <w:rsid w:val="001F5154"/>
    <w:rsid w:val="001F6564"/>
    <w:rsid w:val="001F6C39"/>
    <w:rsid w:val="001F7AAB"/>
    <w:rsid w:val="001F7AC3"/>
    <w:rsid w:val="00200EF9"/>
    <w:rsid w:val="00201814"/>
    <w:rsid w:val="00202B9F"/>
    <w:rsid w:val="0020355F"/>
    <w:rsid w:val="00207F89"/>
    <w:rsid w:val="002114E7"/>
    <w:rsid w:val="00211853"/>
    <w:rsid w:val="00211DCC"/>
    <w:rsid w:val="0021330B"/>
    <w:rsid w:val="00215C8C"/>
    <w:rsid w:val="00216ADE"/>
    <w:rsid w:val="00220189"/>
    <w:rsid w:val="00222602"/>
    <w:rsid w:val="00222725"/>
    <w:rsid w:val="00222BFC"/>
    <w:rsid w:val="00222EBD"/>
    <w:rsid w:val="002238C6"/>
    <w:rsid w:val="002250C1"/>
    <w:rsid w:val="00225DDD"/>
    <w:rsid w:val="00226D1A"/>
    <w:rsid w:val="002338EF"/>
    <w:rsid w:val="0023422B"/>
    <w:rsid w:val="00235092"/>
    <w:rsid w:val="002359A6"/>
    <w:rsid w:val="002365DD"/>
    <w:rsid w:val="00236919"/>
    <w:rsid w:val="00237A6E"/>
    <w:rsid w:val="00237F28"/>
    <w:rsid w:val="00240B4E"/>
    <w:rsid w:val="00241638"/>
    <w:rsid w:val="002423D2"/>
    <w:rsid w:val="00243DF0"/>
    <w:rsid w:val="002460D5"/>
    <w:rsid w:val="002502DF"/>
    <w:rsid w:val="0025033E"/>
    <w:rsid w:val="00251535"/>
    <w:rsid w:val="0025209A"/>
    <w:rsid w:val="002527A1"/>
    <w:rsid w:val="002529D9"/>
    <w:rsid w:val="00256092"/>
    <w:rsid w:val="00256126"/>
    <w:rsid w:val="0025767D"/>
    <w:rsid w:val="002600C9"/>
    <w:rsid w:val="002609AA"/>
    <w:rsid w:val="00260B3D"/>
    <w:rsid w:val="00261781"/>
    <w:rsid w:val="00261E26"/>
    <w:rsid w:val="00263F6B"/>
    <w:rsid w:val="00266792"/>
    <w:rsid w:val="00266F10"/>
    <w:rsid w:val="00267236"/>
    <w:rsid w:val="0027253C"/>
    <w:rsid w:val="00272B04"/>
    <w:rsid w:val="00273DCB"/>
    <w:rsid w:val="00275929"/>
    <w:rsid w:val="0027636F"/>
    <w:rsid w:val="00277A82"/>
    <w:rsid w:val="00282CA2"/>
    <w:rsid w:val="00282F3B"/>
    <w:rsid w:val="00283E3E"/>
    <w:rsid w:val="0028707B"/>
    <w:rsid w:val="0028794C"/>
    <w:rsid w:val="002952D0"/>
    <w:rsid w:val="002978BB"/>
    <w:rsid w:val="002A0915"/>
    <w:rsid w:val="002A13C7"/>
    <w:rsid w:val="002A1B31"/>
    <w:rsid w:val="002A2743"/>
    <w:rsid w:val="002A5F76"/>
    <w:rsid w:val="002A6111"/>
    <w:rsid w:val="002A6957"/>
    <w:rsid w:val="002A7F8C"/>
    <w:rsid w:val="002B0D6B"/>
    <w:rsid w:val="002B1734"/>
    <w:rsid w:val="002B1814"/>
    <w:rsid w:val="002B19C9"/>
    <w:rsid w:val="002B297B"/>
    <w:rsid w:val="002B452C"/>
    <w:rsid w:val="002B524C"/>
    <w:rsid w:val="002B680C"/>
    <w:rsid w:val="002B6C06"/>
    <w:rsid w:val="002B6DFA"/>
    <w:rsid w:val="002C0101"/>
    <w:rsid w:val="002C170A"/>
    <w:rsid w:val="002C1A8D"/>
    <w:rsid w:val="002C2347"/>
    <w:rsid w:val="002C53CA"/>
    <w:rsid w:val="002C5560"/>
    <w:rsid w:val="002C5A2E"/>
    <w:rsid w:val="002C692E"/>
    <w:rsid w:val="002C6F9D"/>
    <w:rsid w:val="002D00CF"/>
    <w:rsid w:val="002D0385"/>
    <w:rsid w:val="002D113C"/>
    <w:rsid w:val="002D2937"/>
    <w:rsid w:val="002D461B"/>
    <w:rsid w:val="002D630B"/>
    <w:rsid w:val="002D781A"/>
    <w:rsid w:val="002D79F8"/>
    <w:rsid w:val="002E01A4"/>
    <w:rsid w:val="002E0C59"/>
    <w:rsid w:val="002E3331"/>
    <w:rsid w:val="002E3EE5"/>
    <w:rsid w:val="002E51D8"/>
    <w:rsid w:val="002F172A"/>
    <w:rsid w:val="002F299C"/>
    <w:rsid w:val="002F70CB"/>
    <w:rsid w:val="002F75F0"/>
    <w:rsid w:val="003024C9"/>
    <w:rsid w:val="00302919"/>
    <w:rsid w:val="003078FE"/>
    <w:rsid w:val="00307D9F"/>
    <w:rsid w:val="0031229F"/>
    <w:rsid w:val="003142A5"/>
    <w:rsid w:val="0031780F"/>
    <w:rsid w:val="00320FFB"/>
    <w:rsid w:val="003217DF"/>
    <w:rsid w:val="003232A1"/>
    <w:rsid w:val="0032497B"/>
    <w:rsid w:val="00324C29"/>
    <w:rsid w:val="00326460"/>
    <w:rsid w:val="00326D8C"/>
    <w:rsid w:val="00330282"/>
    <w:rsid w:val="003329C0"/>
    <w:rsid w:val="00336E83"/>
    <w:rsid w:val="00337C3F"/>
    <w:rsid w:val="003409CB"/>
    <w:rsid w:val="00342014"/>
    <w:rsid w:val="003450E7"/>
    <w:rsid w:val="0034656F"/>
    <w:rsid w:val="00346DF2"/>
    <w:rsid w:val="0034701A"/>
    <w:rsid w:val="00347967"/>
    <w:rsid w:val="00350FC7"/>
    <w:rsid w:val="00351C6A"/>
    <w:rsid w:val="00353DEA"/>
    <w:rsid w:val="00356B8C"/>
    <w:rsid w:val="003600A7"/>
    <w:rsid w:val="00361696"/>
    <w:rsid w:val="0036197D"/>
    <w:rsid w:val="00362890"/>
    <w:rsid w:val="00363C14"/>
    <w:rsid w:val="003640D9"/>
    <w:rsid w:val="00364AA2"/>
    <w:rsid w:val="00364DA4"/>
    <w:rsid w:val="00366ACD"/>
    <w:rsid w:val="00367776"/>
    <w:rsid w:val="00367AFC"/>
    <w:rsid w:val="003703F2"/>
    <w:rsid w:val="003715B9"/>
    <w:rsid w:val="00371B84"/>
    <w:rsid w:val="00372D4E"/>
    <w:rsid w:val="0037310A"/>
    <w:rsid w:val="0037415F"/>
    <w:rsid w:val="00374C9B"/>
    <w:rsid w:val="003772A5"/>
    <w:rsid w:val="00377978"/>
    <w:rsid w:val="00377A1A"/>
    <w:rsid w:val="00377BCC"/>
    <w:rsid w:val="00381320"/>
    <w:rsid w:val="00382C39"/>
    <w:rsid w:val="0038553C"/>
    <w:rsid w:val="00386CD7"/>
    <w:rsid w:val="00387F24"/>
    <w:rsid w:val="0039160C"/>
    <w:rsid w:val="00391E2C"/>
    <w:rsid w:val="00393DED"/>
    <w:rsid w:val="00394050"/>
    <w:rsid w:val="003946BC"/>
    <w:rsid w:val="00394CB9"/>
    <w:rsid w:val="00395F16"/>
    <w:rsid w:val="0039627C"/>
    <w:rsid w:val="00397073"/>
    <w:rsid w:val="0039762B"/>
    <w:rsid w:val="003A0A1A"/>
    <w:rsid w:val="003A1CF7"/>
    <w:rsid w:val="003A1F05"/>
    <w:rsid w:val="003A1F3B"/>
    <w:rsid w:val="003A2172"/>
    <w:rsid w:val="003A2700"/>
    <w:rsid w:val="003A29D9"/>
    <w:rsid w:val="003A44D0"/>
    <w:rsid w:val="003A4B99"/>
    <w:rsid w:val="003A6560"/>
    <w:rsid w:val="003A6898"/>
    <w:rsid w:val="003B13BD"/>
    <w:rsid w:val="003B329F"/>
    <w:rsid w:val="003B5875"/>
    <w:rsid w:val="003B7178"/>
    <w:rsid w:val="003C0313"/>
    <w:rsid w:val="003C10B9"/>
    <w:rsid w:val="003C5443"/>
    <w:rsid w:val="003C5D1C"/>
    <w:rsid w:val="003D06E3"/>
    <w:rsid w:val="003D0725"/>
    <w:rsid w:val="003D2D45"/>
    <w:rsid w:val="003D2E69"/>
    <w:rsid w:val="003D371E"/>
    <w:rsid w:val="003D680A"/>
    <w:rsid w:val="003E1AFF"/>
    <w:rsid w:val="003E1D9F"/>
    <w:rsid w:val="003E26B1"/>
    <w:rsid w:val="003E408B"/>
    <w:rsid w:val="003E414F"/>
    <w:rsid w:val="003E49E8"/>
    <w:rsid w:val="003E58D5"/>
    <w:rsid w:val="003E6087"/>
    <w:rsid w:val="003E6B33"/>
    <w:rsid w:val="003F0557"/>
    <w:rsid w:val="003F05A5"/>
    <w:rsid w:val="003F0C0B"/>
    <w:rsid w:val="003F0CCA"/>
    <w:rsid w:val="003F222E"/>
    <w:rsid w:val="003F258A"/>
    <w:rsid w:val="00400CAF"/>
    <w:rsid w:val="00404E13"/>
    <w:rsid w:val="004062B6"/>
    <w:rsid w:val="00407E78"/>
    <w:rsid w:val="00407FF8"/>
    <w:rsid w:val="0041029F"/>
    <w:rsid w:val="00412217"/>
    <w:rsid w:val="004137C0"/>
    <w:rsid w:val="00413AE9"/>
    <w:rsid w:val="00414BDA"/>
    <w:rsid w:val="0041600C"/>
    <w:rsid w:val="0041606D"/>
    <w:rsid w:val="004161D1"/>
    <w:rsid w:val="0041685A"/>
    <w:rsid w:val="0042091E"/>
    <w:rsid w:val="004215A5"/>
    <w:rsid w:val="004215C4"/>
    <w:rsid w:val="00423C20"/>
    <w:rsid w:val="00423F51"/>
    <w:rsid w:val="00425062"/>
    <w:rsid w:val="00430D33"/>
    <w:rsid w:val="00430F73"/>
    <w:rsid w:val="00431458"/>
    <w:rsid w:val="00434732"/>
    <w:rsid w:val="00436BDC"/>
    <w:rsid w:val="00436EDB"/>
    <w:rsid w:val="00437191"/>
    <w:rsid w:val="00440371"/>
    <w:rsid w:val="00445033"/>
    <w:rsid w:val="00446AE7"/>
    <w:rsid w:val="00446C99"/>
    <w:rsid w:val="0045089D"/>
    <w:rsid w:val="00451404"/>
    <w:rsid w:val="00452AC1"/>
    <w:rsid w:val="00453DA0"/>
    <w:rsid w:val="00454720"/>
    <w:rsid w:val="0046127F"/>
    <w:rsid w:val="004612D7"/>
    <w:rsid w:val="00461AB0"/>
    <w:rsid w:val="004625B4"/>
    <w:rsid w:val="00462FC6"/>
    <w:rsid w:val="004642F9"/>
    <w:rsid w:val="00464400"/>
    <w:rsid w:val="00466101"/>
    <w:rsid w:val="004710C7"/>
    <w:rsid w:val="004719F3"/>
    <w:rsid w:val="00471D74"/>
    <w:rsid w:val="00472525"/>
    <w:rsid w:val="0047331D"/>
    <w:rsid w:val="0047337D"/>
    <w:rsid w:val="00474069"/>
    <w:rsid w:val="004744DD"/>
    <w:rsid w:val="00474802"/>
    <w:rsid w:val="00476D37"/>
    <w:rsid w:val="00480D6B"/>
    <w:rsid w:val="00480EA4"/>
    <w:rsid w:val="00484D02"/>
    <w:rsid w:val="00486413"/>
    <w:rsid w:val="00486841"/>
    <w:rsid w:val="00487071"/>
    <w:rsid w:val="0049165E"/>
    <w:rsid w:val="00492431"/>
    <w:rsid w:val="004925F4"/>
    <w:rsid w:val="00492947"/>
    <w:rsid w:val="00492CF5"/>
    <w:rsid w:val="00492E09"/>
    <w:rsid w:val="00493C33"/>
    <w:rsid w:val="00493D89"/>
    <w:rsid w:val="0049417F"/>
    <w:rsid w:val="004947F9"/>
    <w:rsid w:val="0049630A"/>
    <w:rsid w:val="00497150"/>
    <w:rsid w:val="004A590E"/>
    <w:rsid w:val="004A5D0D"/>
    <w:rsid w:val="004A65C4"/>
    <w:rsid w:val="004A7CC7"/>
    <w:rsid w:val="004B3818"/>
    <w:rsid w:val="004B47AC"/>
    <w:rsid w:val="004B50BA"/>
    <w:rsid w:val="004B5955"/>
    <w:rsid w:val="004B70EE"/>
    <w:rsid w:val="004C078E"/>
    <w:rsid w:val="004C2144"/>
    <w:rsid w:val="004C31E4"/>
    <w:rsid w:val="004C511F"/>
    <w:rsid w:val="004C5D38"/>
    <w:rsid w:val="004D1A66"/>
    <w:rsid w:val="004D1E4C"/>
    <w:rsid w:val="004D2A69"/>
    <w:rsid w:val="004D2F80"/>
    <w:rsid w:val="004D4541"/>
    <w:rsid w:val="004D55CA"/>
    <w:rsid w:val="004D5E4A"/>
    <w:rsid w:val="004D7BC1"/>
    <w:rsid w:val="004D7EA7"/>
    <w:rsid w:val="004D7FDA"/>
    <w:rsid w:val="004E1F53"/>
    <w:rsid w:val="004E7170"/>
    <w:rsid w:val="004E7955"/>
    <w:rsid w:val="004F0129"/>
    <w:rsid w:val="004F1203"/>
    <w:rsid w:val="004F1500"/>
    <w:rsid w:val="004F31B5"/>
    <w:rsid w:val="004F513B"/>
    <w:rsid w:val="004F661C"/>
    <w:rsid w:val="004F72FD"/>
    <w:rsid w:val="004F7C56"/>
    <w:rsid w:val="004F7EDE"/>
    <w:rsid w:val="005024E5"/>
    <w:rsid w:val="00502DE4"/>
    <w:rsid w:val="00503651"/>
    <w:rsid w:val="00503B5E"/>
    <w:rsid w:val="005046D7"/>
    <w:rsid w:val="00504F4A"/>
    <w:rsid w:val="005052F2"/>
    <w:rsid w:val="00507E06"/>
    <w:rsid w:val="00510637"/>
    <w:rsid w:val="0051139E"/>
    <w:rsid w:val="00511F6F"/>
    <w:rsid w:val="0051426C"/>
    <w:rsid w:val="0051775A"/>
    <w:rsid w:val="00517B29"/>
    <w:rsid w:val="00522F5B"/>
    <w:rsid w:val="00523C3F"/>
    <w:rsid w:val="00523F4D"/>
    <w:rsid w:val="00524208"/>
    <w:rsid w:val="00525104"/>
    <w:rsid w:val="005257A7"/>
    <w:rsid w:val="00525CD6"/>
    <w:rsid w:val="00526083"/>
    <w:rsid w:val="005312CD"/>
    <w:rsid w:val="00531717"/>
    <w:rsid w:val="00532ECB"/>
    <w:rsid w:val="0053539D"/>
    <w:rsid w:val="00535E99"/>
    <w:rsid w:val="005374B9"/>
    <w:rsid w:val="00537BB8"/>
    <w:rsid w:val="00537BCE"/>
    <w:rsid w:val="00547159"/>
    <w:rsid w:val="005504EC"/>
    <w:rsid w:val="00551EB1"/>
    <w:rsid w:val="00552291"/>
    <w:rsid w:val="005524F4"/>
    <w:rsid w:val="005528DC"/>
    <w:rsid w:val="00552C03"/>
    <w:rsid w:val="005539D3"/>
    <w:rsid w:val="005546B5"/>
    <w:rsid w:val="00554889"/>
    <w:rsid w:val="00563A56"/>
    <w:rsid w:val="005653F2"/>
    <w:rsid w:val="005654C4"/>
    <w:rsid w:val="00567945"/>
    <w:rsid w:val="005701CA"/>
    <w:rsid w:val="0057342A"/>
    <w:rsid w:val="00575C60"/>
    <w:rsid w:val="00581209"/>
    <w:rsid w:val="0058246A"/>
    <w:rsid w:val="005830B1"/>
    <w:rsid w:val="00584D3C"/>
    <w:rsid w:val="00585B02"/>
    <w:rsid w:val="005952B9"/>
    <w:rsid w:val="00596D04"/>
    <w:rsid w:val="0059763A"/>
    <w:rsid w:val="005A04A2"/>
    <w:rsid w:val="005A0630"/>
    <w:rsid w:val="005A16B7"/>
    <w:rsid w:val="005A29A4"/>
    <w:rsid w:val="005A32F7"/>
    <w:rsid w:val="005A42C8"/>
    <w:rsid w:val="005A5CDD"/>
    <w:rsid w:val="005A75B5"/>
    <w:rsid w:val="005A769A"/>
    <w:rsid w:val="005A788A"/>
    <w:rsid w:val="005B0ACE"/>
    <w:rsid w:val="005B18A8"/>
    <w:rsid w:val="005B2368"/>
    <w:rsid w:val="005B3E72"/>
    <w:rsid w:val="005B43B9"/>
    <w:rsid w:val="005B6BA8"/>
    <w:rsid w:val="005C18F6"/>
    <w:rsid w:val="005C1AD0"/>
    <w:rsid w:val="005C3301"/>
    <w:rsid w:val="005C42AC"/>
    <w:rsid w:val="005C4656"/>
    <w:rsid w:val="005C4BED"/>
    <w:rsid w:val="005C61A4"/>
    <w:rsid w:val="005C696B"/>
    <w:rsid w:val="005C6CC5"/>
    <w:rsid w:val="005C79A5"/>
    <w:rsid w:val="005C7E97"/>
    <w:rsid w:val="005D104E"/>
    <w:rsid w:val="005D15A2"/>
    <w:rsid w:val="005D2C1F"/>
    <w:rsid w:val="005D5AC0"/>
    <w:rsid w:val="005D6FD5"/>
    <w:rsid w:val="005D739E"/>
    <w:rsid w:val="005E164C"/>
    <w:rsid w:val="005E3B7F"/>
    <w:rsid w:val="005E3E53"/>
    <w:rsid w:val="005E44F9"/>
    <w:rsid w:val="005E5923"/>
    <w:rsid w:val="005E6D80"/>
    <w:rsid w:val="005F0746"/>
    <w:rsid w:val="006003BA"/>
    <w:rsid w:val="00600F09"/>
    <w:rsid w:val="0060112B"/>
    <w:rsid w:val="00601CD3"/>
    <w:rsid w:val="00602B6E"/>
    <w:rsid w:val="00602DAF"/>
    <w:rsid w:val="00602F2B"/>
    <w:rsid w:val="006040A7"/>
    <w:rsid w:val="00604358"/>
    <w:rsid w:val="00605414"/>
    <w:rsid w:val="006069B2"/>
    <w:rsid w:val="00606D21"/>
    <w:rsid w:val="006126C9"/>
    <w:rsid w:val="00612C35"/>
    <w:rsid w:val="00612D58"/>
    <w:rsid w:val="006136BA"/>
    <w:rsid w:val="00615899"/>
    <w:rsid w:val="00616526"/>
    <w:rsid w:val="00616919"/>
    <w:rsid w:val="00617E19"/>
    <w:rsid w:val="00620D5C"/>
    <w:rsid w:val="0062165A"/>
    <w:rsid w:val="00621C10"/>
    <w:rsid w:val="00624516"/>
    <w:rsid w:val="00624A48"/>
    <w:rsid w:val="0062623C"/>
    <w:rsid w:val="00626B6E"/>
    <w:rsid w:val="00630899"/>
    <w:rsid w:val="00630D09"/>
    <w:rsid w:val="00630FB1"/>
    <w:rsid w:val="00632999"/>
    <w:rsid w:val="006329C9"/>
    <w:rsid w:val="00632B62"/>
    <w:rsid w:val="006353F0"/>
    <w:rsid w:val="006368D3"/>
    <w:rsid w:val="00637914"/>
    <w:rsid w:val="00640365"/>
    <w:rsid w:val="006404F7"/>
    <w:rsid w:val="006406BF"/>
    <w:rsid w:val="006407C9"/>
    <w:rsid w:val="00641216"/>
    <w:rsid w:val="006443DD"/>
    <w:rsid w:val="006451D5"/>
    <w:rsid w:val="006469B8"/>
    <w:rsid w:val="00652122"/>
    <w:rsid w:val="00652D27"/>
    <w:rsid w:val="00652E40"/>
    <w:rsid w:val="006532DA"/>
    <w:rsid w:val="00656C05"/>
    <w:rsid w:val="00660932"/>
    <w:rsid w:val="006622F9"/>
    <w:rsid w:val="006624F2"/>
    <w:rsid w:val="006628C0"/>
    <w:rsid w:val="0066364C"/>
    <w:rsid w:val="00663881"/>
    <w:rsid w:val="006643E5"/>
    <w:rsid w:val="0066462F"/>
    <w:rsid w:val="00665051"/>
    <w:rsid w:val="0066552F"/>
    <w:rsid w:val="00666B61"/>
    <w:rsid w:val="006709F6"/>
    <w:rsid w:val="00671AB7"/>
    <w:rsid w:val="006745BE"/>
    <w:rsid w:val="00675799"/>
    <w:rsid w:val="00675C38"/>
    <w:rsid w:val="00675EB8"/>
    <w:rsid w:val="00676177"/>
    <w:rsid w:val="00677B5D"/>
    <w:rsid w:val="00677BE9"/>
    <w:rsid w:val="006807D8"/>
    <w:rsid w:val="00680EFD"/>
    <w:rsid w:val="0068116E"/>
    <w:rsid w:val="00681DD2"/>
    <w:rsid w:val="00682336"/>
    <w:rsid w:val="00682A4B"/>
    <w:rsid w:val="00682D8A"/>
    <w:rsid w:val="00682FA9"/>
    <w:rsid w:val="00683168"/>
    <w:rsid w:val="0068424D"/>
    <w:rsid w:val="006865BD"/>
    <w:rsid w:val="00686670"/>
    <w:rsid w:val="00687F84"/>
    <w:rsid w:val="006901BD"/>
    <w:rsid w:val="0069271D"/>
    <w:rsid w:val="00692830"/>
    <w:rsid w:val="0069354E"/>
    <w:rsid w:val="00695D47"/>
    <w:rsid w:val="0069615D"/>
    <w:rsid w:val="006969B8"/>
    <w:rsid w:val="006A00FA"/>
    <w:rsid w:val="006A1EBD"/>
    <w:rsid w:val="006A3BE8"/>
    <w:rsid w:val="006A556C"/>
    <w:rsid w:val="006A7E72"/>
    <w:rsid w:val="006B0615"/>
    <w:rsid w:val="006B0857"/>
    <w:rsid w:val="006B13D5"/>
    <w:rsid w:val="006B1D6A"/>
    <w:rsid w:val="006B6501"/>
    <w:rsid w:val="006B6A98"/>
    <w:rsid w:val="006B6CDE"/>
    <w:rsid w:val="006B7DF8"/>
    <w:rsid w:val="006C0B88"/>
    <w:rsid w:val="006C17D1"/>
    <w:rsid w:val="006C1F1B"/>
    <w:rsid w:val="006C1F37"/>
    <w:rsid w:val="006C305A"/>
    <w:rsid w:val="006D1689"/>
    <w:rsid w:val="006D3750"/>
    <w:rsid w:val="006D47A7"/>
    <w:rsid w:val="006D5A7C"/>
    <w:rsid w:val="006E2035"/>
    <w:rsid w:val="006E242E"/>
    <w:rsid w:val="006E4816"/>
    <w:rsid w:val="006E7947"/>
    <w:rsid w:val="006F154C"/>
    <w:rsid w:val="006F1C0A"/>
    <w:rsid w:val="006F1C65"/>
    <w:rsid w:val="006F2E26"/>
    <w:rsid w:val="006F430D"/>
    <w:rsid w:val="006F4609"/>
    <w:rsid w:val="006F6377"/>
    <w:rsid w:val="006F6B37"/>
    <w:rsid w:val="006F6D57"/>
    <w:rsid w:val="00702102"/>
    <w:rsid w:val="00702187"/>
    <w:rsid w:val="0070566E"/>
    <w:rsid w:val="00705C06"/>
    <w:rsid w:val="00705E3C"/>
    <w:rsid w:val="00710D3F"/>
    <w:rsid w:val="007112A7"/>
    <w:rsid w:val="00711C63"/>
    <w:rsid w:val="00713059"/>
    <w:rsid w:val="00713BEB"/>
    <w:rsid w:val="00713F4D"/>
    <w:rsid w:val="00714A85"/>
    <w:rsid w:val="0071605E"/>
    <w:rsid w:val="00721BEE"/>
    <w:rsid w:val="00723110"/>
    <w:rsid w:val="00723298"/>
    <w:rsid w:val="007245C8"/>
    <w:rsid w:val="007248FE"/>
    <w:rsid w:val="00724D66"/>
    <w:rsid w:val="00726118"/>
    <w:rsid w:val="0072627B"/>
    <w:rsid w:val="0072777A"/>
    <w:rsid w:val="0073152A"/>
    <w:rsid w:val="0073169E"/>
    <w:rsid w:val="007403FC"/>
    <w:rsid w:val="007424E5"/>
    <w:rsid w:val="00745904"/>
    <w:rsid w:val="007534F6"/>
    <w:rsid w:val="00754F01"/>
    <w:rsid w:val="00756635"/>
    <w:rsid w:val="0075783F"/>
    <w:rsid w:val="0076098F"/>
    <w:rsid w:val="007613C1"/>
    <w:rsid w:val="00761D6B"/>
    <w:rsid w:val="00762C69"/>
    <w:rsid w:val="00765369"/>
    <w:rsid w:val="00765BBB"/>
    <w:rsid w:val="00765E9D"/>
    <w:rsid w:val="0076621D"/>
    <w:rsid w:val="00766629"/>
    <w:rsid w:val="00770B68"/>
    <w:rsid w:val="00771D89"/>
    <w:rsid w:val="00772A66"/>
    <w:rsid w:val="00773CBE"/>
    <w:rsid w:val="00774015"/>
    <w:rsid w:val="0077446E"/>
    <w:rsid w:val="00776896"/>
    <w:rsid w:val="0078431D"/>
    <w:rsid w:val="00790F11"/>
    <w:rsid w:val="007922E1"/>
    <w:rsid w:val="00792378"/>
    <w:rsid w:val="00795905"/>
    <w:rsid w:val="00797C05"/>
    <w:rsid w:val="007A0D05"/>
    <w:rsid w:val="007A1EA5"/>
    <w:rsid w:val="007A2519"/>
    <w:rsid w:val="007A3DFD"/>
    <w:rsid w:val="007B021A"/>
    <w:rsid w:val="007B0425"/>
    <w:rsid w:val="007B2361"/>
    <w:rsid w:val="007B2B25"/>
    <w:rsid w:val="007B388A"/>
    <w:rsid w:val="007B4331"/>
    <w:rsid w:val="007B4F8F"/>
    <w:rsid w:val="007B58EA"/>
    <w:rsid w:val="007C18A1"/>
    <w:rsid w:val="007C2D38"/>
    <w:rsid w:val="007C5113"/>
    <w:rsid w:val="007C5C47"/>
    <w:rsid w:val="007C5EF4"/>
    <w:rsid w:val="007C6168"/>
    <w:rsid w:val="007C7126"/>
    <w:rsid w:val="007D2A4C"/>
    <w:rsid w:val="007D50F1"/>
    <w:rsid w:val="007D5227"/>
    <w:rsid w:val="007D52C2"/>
    <w:rsid w:val="007D55A8"/>
    <w:rsid w:val="007D646D"/>
    <w:rsid w:val="007D713D"/>
    <w:rsid w:val="007D7B02"/>
    <w:rsid w:val="007E042B"/>
    <w:rsid w:val="007E2DB5"/>
    <w:rsid w:val="007E3C34"/>
    <w:rsid w:val="007E59C5"/>
    <w:rsid w:val="007F0E93"/>
    <w:rsid w:val="007F4886"/>
    <w:rsid w:val="008000B2"/>
    <w:rsid w:val="008002C2"/>
    <w:rsid w:val="008008DB"/>
    <w:rsid w:val="00803C5B"/>
    <w:rsid w:val="00804726"/>
    <w:rsid w:val="00804ED9"/>
    <w:rsid w:val="00806914"/>
    <w:rsid w:val="00807A6B"/>
    <w:rsid w:val="00807BCF"/>
    <w:rsid w:val="00812780"/>
    <w:rsid w:val="008138ED"/>
    <w:rsid w:val="00816F42"/>
    <w:rsid w:val="008170AD"/>
    <w:rsid w:val="00817AC7"/>
    <w:rsid w:val="00817D19"/>
    <w:rsid w:val="00821709"/>
    <w:rsid w:val="00822FDD"/>
    <w:rsid w:val="00825FC5"/>
    <w:rsid w:val="00826EB4"/>
    <w:rsid w:val="008310D9"/>
    <w:rsid w:val="008327A3"/>
    <w:rsid w:val="00833956"/>
    <w:rsid w:val="008345EC"/>
    <w:rsid w:val="00834BB5"/>
    <w:rsid w:val="008375A8"/>
    <w:rsid w:val="008428E3"/>
    <w:rsid w:val="00842DF1"/>
    <w:rsid w:val="00845E3E"/>
    <w:rsid w:val="00850634"/>
    <w:rsid w:val="008528EE"/>
    <w:rsid w:val="0085647C"/>
    <w:rsid w:val="0086006D"/>
    <w:rsid w:val="00863816"/>
    <w:rsid w:val="008700EC"/>
    <w:rsid w:val="0087180C"/>
    <w:rsid w:val="008722BB"/>
    <w:rsid w:val="008726E9"/>
    <w:rsid w:val="00872BE7"/>
    <w:rsid w:val="00872FD7"/>
    <w:rsid w:val="0087326A"/>
    <w:rsid w:val="0087376C"/>
    <w:rsid w:val="00874210"/>
    <w:rsid w:val="00875E5F"/>
    <w:rsid w:val="0087609E"/>
    <w:rsid w:val="00876269"/>
    <w:rsid w:val="00876D30"/>
    <w:rsid w:val="008776D3"/>
    <w:rsid w:val="00880C77"/>
    <w:rsid w:val="00882392"/>
    <w:rsid w:val="00882CF7"/>
    <w:rsid w:val="00883B65"/>
    <w:rsid w:val="00884432"/>
    <w:rsid w:val="00884FC0"/>
    <w:rsid w:val="00886429"/>
    <w:rsid w:val="00890513"/>
    <w:rsid w:val="008912FF"/>
    <w:rsid w:val="00894BD8"/>
    <w:rsid w:val="00894FDC"/>
    <w:rsid w:val="008978B1"/>
    <w:rsid w:val="008A2875"/>
    <w:rsid w:val="008A3557"/>
    <w:rsid w:val="008A37A6"/>
    <w:rsid w:val="008A54D2"/>
    <w:rsid w:val="008A7513"/>
    <w:rsid w:val="008B044C"/>
    <w:rsid w:val="008B0811"/>
    <w:rsid w:val="008B144B"/>
    <w:rsid w:val="008B1469"/>
    <w:rsid w:val="008B60A9"/>
    <w:rsid w:val="008B62AE"/>
    <w:rsid w:val="008B6BB5"/>
    <w:rsid w:val="008C29A1"/>
    <w:rsid w:val="008D0C13"/>
    <w:rsid w:val="008D0EAE"/>
    <w:rsid w:val="008D30ED"/>
    <w:rsid w:val="008D4024"/>
    <w:rsid w:val="008D6A82"/>
    <w:rsid w:val="008E1CF5"/>
    <w:rsid w:val="008E2B65"/>
    <w:rsid w:val="008E2C13"/>
    <w:rsid w:val="008E3BA0"/>
    <w:rsid w:val="008E5272"/>
    <w:rsid w:val="008E5784"/>
    <w:rsid w:val="008E624C"/>
    <w:rsid w:val="008F252A"/>
    <w:rsid w:val="008F363C"/>
    <w:rsid w:val="00901969"/>
    <w:rsid w:val="009020DD"/>
    <w:rsid w:val="00902E8D"/>
    <w:rsid w:val="0090431A"/>
    <w:rsid w:val="009056A8"/>
    <w:rsid w:val="0090722D"/>
    <w:rsid w:val="00907FA8"/>
    <w:rsid w:val="009140F3"/>
    <w:rsid w:val="00914A08"/>
    <w:rsid w:val="00915C84"/>
    <w:rsid w:val="00916721"/>
    <w:rsid w:val="00917806"/>
    <w:rsid w:val="009179BC"/>
    <w:rsid w:val="00917D23"/>
    <w:rsid w:val="0092005C"/>
    <w:rsid w:val="009207F9"/>
    <w:rsid w:val="00920EAC"/>
    <w:rsid w:val="00921810"/>
    <w:rsid w:val="00921C66"/>
    <w:rsid w:val="0092322F"/>
    <w:rsid w:val="0092393D"/>
    <w:rsid w:val="00924E47"/>
    <w:rsid w:val="009304C5"/>
    <w:rsid w:val="00930687"/>
    <w:rsid w:val="00932D48"/>
    <w:rsid w:val="00933D09"/>
    <w:rsid w:val="00934575"/>
    <w:rsid w:val="009404D9"/>
    <w:rsid w:val="00941F76"/>
    <w:rsid w:val="009425AF"/>
    <w:rsid w:val="009428A9"/>
    <w:rsid w:val="0094706B"/>
    <w:rsid w:val="009472DC"/>
    <w:rsid w:val="00947698"/>
    <w:rsid w:val="00947DF0"/>
    <w:rsid w:val="00950B24"/>
    <w:rsid w:val="0095420F"/>
    <w:rsid w:val="00954892"/>
    <w:rsid w:val="00957A4A"/>
    <w:rsid w:val="00960D5A"/>
    <w:rsid w:val="009613AC"/>
    <w:rsid w:val="0096149D"/>
    <w:rsid w:val="00963939"/>
    <w:rsid w:val="009648D0"/>
    <w:rsid w:val="00970CCB"/>
    <w:rsid w:val="0097213A"/>
    <w:rsid w:val="00972980"/>
    <w:rsid w:val="00973834"/>
    <w:rsid w:val="009738E3"/>
    <w:rsid w:val="00975ACF"/>
    <w:rsid w:val="00975C15"/>
    <w:rsid w:val="00976B9D"/>
    <w:rsid w:val="009806C5"/>
    <w:rsid w:val="00980DFE"/>
    <w:rsid w:val="00981C0C"/>
    <w:rsid w:val="00982D8C"/>
    <w:rsid w:val="009830E3"/>
    <w:rsid w:val="0098433D"/>
    <w:rsid w:val="00984B3E"/>
    <w:rsid w:val="009853A6"/>
    <w:rsid w:val="00985E0D"/>
    <w:rsid w:val="00987033"/>
    <w:rsid w:val="009874A1"/>
    <w:rsid w:val="009874CF"/>
    <w:rsid w:val="009906E5"/>
    <w:rsid w:val="00990EB2"/>
    <w:rsid w:val="00994B6D"/>
    <w:rsid w:val="00994CA5"/>
    <w:rsid w:val="00995018"/>
    <w:rsid w:val="00995028"/>
    <w:rsid w:val="00995779"/>
    <w:rsid w:val="009A278A"/>
    <w:rsid w:val="009A3C15"/>
    <w:rsid w:val="009A4A88"/>
    <w:rsid w:val="009A4B72"/>
    <w:rsid w:val="009B3E12"/>
    <w:rsid w:val="009B6733"/>
    <w:rsid w:val="009B7300"/>
    <w:rsid w:val="009B7310"/>
    <w:rsid w:val="009C0AF2"/>
    <w:rsid w:val="009C2A29"/>
    <w:rsid w:val="009C437A"/>
    <w:rsid w:val="009C4E75"/>
    <w:rsid w:val="009C6168"/>
    <w:rsid w:val="009C618C"/>
    <w:rsid w:val="009C72DA"/>
    <w:rsid w:val="009C730A"/>
    <w:rsid w:val="009C7385"/>
    <w:rsid w:val="009D09FE"/>
    <w:rsid w:val="009D0DCF"/>
    <w:rsid w:val="009D3467"/>
    <w:rsid w:val="009D7550"/>
    <w:rsid w:val="009D758C"/>
    <w:rsid w:val="009E01EA"/>
    <w:rsid w:val="009E021E"/>
    <w:rsid w:val="009E116C"/>
    <w:rsid w:val="009E3847"/>
    <w:rsid w:val="009E3F5E"/>
    <w:rsid w:val="009E6EB9"/>
    <w:rsid w:val="009E6F7B"/>
    <w:rsid w:val="009E7A0E"/>
    <w:rsid w:val="009F15BB"/>
    <w:rsid w:val="009F268D"/>
    <w:rsid w:val="009F2C1B"/>
    <w:rsid w:val="009F30CA"/>
    <w:rsid w:val="009F5044"/>
    <w:rsid w:val="009F73AA"/>
    <w:rsid w:val="009F7426"/>
    <w:rsid w:val="00A00191"/>
    <w:rsid w:val="00A00400"/>
    <w:rsid w:val="00A009E9"/>
    <w:rsid w:val="00A00AB0"/>
    <w:rsid w:val="00A00EEC"/>
    <w:rsid w:val="00A01B91"/>
    <w:rsid w:val="00A02721"/>
    <w:rsid w:val="00A04E57"/>
    <w:rsid w:val="00A06EE1"/>
    <w:rsid w:val="00A108B0"/>
    <w:rsid w:val="00A140EA"/>
    <w:rsid w:val="00A152DE"/>
    <w:rsid w:val="00A20B3A"/>
    <w:rsid w:val="00A21046"/>
    <w:rsid w:val="00A2190B"/>
    <w:rsid w:val="00A23795"/>
    <w:rsid w:val="00A27718"/>
    <w:rsid w:val="00A30A01"/>
    <w:rsid w:val="00A30BBF"/>
    <w:rsid w:val="00A30C75"/>
    <w:rsid w:val="00A36A34"/>
    <w:rsid w:val="00A3720A"/>
    <w:rsid w:val="00A41628"/>
    <w:rsid w:val="00A41AAB"/>
    <w:rsid w:val="00A42441"/>
    <w:rsid w:val="00A430EA"/>
    <w:rsid w:val="00A44D98"/>
    <w:rsid w:val="00A46811"/>
    <w:rsid w:val="00A47033"/>
    <w:rsid w:val="00A51BAB"/>
    <w:rsid w:val="00A5250E"/>
    <w:rsid w:val="00A54919"/>
    <w:rsid w:val="00A55976"/>
    <w:rsid w:val="00A5626E"/>
    <w:rsid w:val="00A578D2"/>
    <w:rsid w:val="00A61FCC"/>
    <w:rsid w:val="00A6398D"/>
    <w:rsid w:val="00A66F62"/>
    <w:rsid w:val="00A670CA"/>
    <w:rsid w:val="00A715BE"/>
    <w:rsid w:val="00A73448"/>
    <w:rsid w:val="00A75073"/>
    <w:rsid w:val="00A76D75"/>
    <w:rsid w:val="00A776E8"/>
    <w:rsid w:val="00A777FD"/>
    <w:rsid w:val="00A77B51"/>
    <w:rsid w:val="00A817CD"/>
    <w:rsid w:val="00A81BDB"/>
    <w:rsid w:val="00A83377"/>
    <w:rsid w:val="00A83736"/>
    <w:rsid w:val="00A83779"/>
    <w:rsid w:val="00A84E4D"/>
    <w:rsid w:val="00A86603"/>
    <w:rsid w:val="00A95BCF"/>
    <w:rsid w:val="00A961E4"/>
    <w:rsid w:val="00A9663C"/>
    <w:rsid w:val="00A97171"/>
    <w:rsid w:val="00A97ACF"/>
    <w:rsid w:val="00A97B27"/>
    <w:rsid w:val="00AA11CC"/>
    <w:rsid w:val="00AA124A"/>
    <w:rsid w:val="00AA281C"/>
    <w:rsid w:val="00AA6635"/>
    <w:rsid w:val="00AA6661"/>
    <w:rsid w:val="00AA6B9D"/>
    <w:rsid w:val="00AA73E5"/>
    <w:rsid w:val="00AB0F0C"/>
    <w:rsid w:val="00AB1F9E"/>
    <w:rsid w:val="00AB32F7"/>
    <w:rsid w:val="00AB3AE7"/>
    <w:rsid w:val="00AB44F9"/>
    <w:rsid w:val="00AB60DF"/>
    <w:rsid w:val="00AB6D52"/>
    <w:rsid w:val="00AB7BD4"/>
    <w:rsid w:val="00AB7DDC"/>
    <w:rsid w:val="00AC2A17"/>
    <w:rsid w:val="00AC2D00"/>
    <w:rsid w:val="00AC3D62"/>
    <w:rsid w:val="00AC4089"/>
    <w:rsid w:val="00AC487A"/>
    <w:rsid w:val="00AC4C45"/>
    <w:rsid w:val="00AC51E6"/>
    <w:rsid w:val="00AC5FDF"/>
    <w:rsid w:val="00AC6899"/>
    <w:rsid w:val="00AC69ED"/>
    <w:rsid w:val="00AC7837"/>
    <w:rsid w:val="00AD0B58"/>
    <w:rsid w:val="00AD1A9B"/>
    <w:rsid w:val="00AD2882"/>
    <w:rsid w:val="00AD314B"/>
    <w:rsid w:val="00AD3AD0"/>
    <w:rsid w:val="00AD4744"/>
    <w:rsid w:val="00AD549B"/>
    <w:rsid w:val="00AD56AC"/>
    <w:rsid w:val="00AD5A76"/>
    <w:rsid w:val="00AE073B"/>
    <w:rsid w:val="00AE0ADA"/>
    <w:rsid w:val="00AE0D56"/>
    <w:rsid w:val="00AE22A3"/>
    <w:rsid w:val="00AE339B"/>
    <w:rsid w:val="00AE3ED8"/>
    <w:rsid w:val="00AE4FF6"/>
    <w:rsid w:val="00AE50C1"/>
    <w:rsid w:val="00AE5EC3"/>
    <w:rsid w:val="00AE6547"/>
    <w:rsid w:val="00AF1D44"/>
    <w:rsid w:val="00AF4513"/>
    <w:rsid w:val="00AF545F"/>
    <w:rsid w:val="00AF5CE8"/>
    <w:rsid w:val="00AF7A1E"/>
    <w:rsid w:val="00B00D32"/>
    <w:rsid w:val="00B01953"/>
    <w:rsid w:val="00B02C54"/>
    <w:rsid w:val="00B03B83"/>
    <w:rsid w:val="00B044C0"/>
    <w:rsid w:val="00B0552A"/>
    <w:rsid w:val="00B06F6B"/>
    <w:rsid w:val="00B0722E"/>
    <w:rsid w:val="00B078DB"/>
    <w:rsid w:val="00B136D7"/>
    <w:rsid w:val="00B1431D"/>
    <w:rsid w:val="00B148A5"/>
    <w:rsid w:val="00B174B8"/>
    <w:rsid w:val="00B20541"/>
    <w:rsid w:val="00B24445"/>
    <w:rsid w:val="00B247CC"/>
    <w:rsid w:val="00B25DBD"/>
    <w:rsid w:val="00B267B8"/>
    <w:rsid w:val="00B27B1A"/>
    <w:rsid w:val="00B36164"/>
    <w:rsid w:val="00B36335"/>
    <w:rsid w:val="00B4014B"/>
    <w:rsid w:val="00B42129"/>
    <w:rsid w:val="00B42A81"/>
    <w:rsid w:val="00B440C8"/>
    <w:rsid w:val="00B44374"/>
    <w:rsid w:val="00B44AED"/>
    <w:rsid w:val="00B45052"/>
    <w:rsid w:val="00B462FB"/>
    <w:rsid w:val="00B50967"/>
    <w:rsid w:val="00B51437"/>
    <w:rsid w:val="00B51C25"/>
    <w:rsid w:val="00B53F04"/>
    <w:rsid w:val="00B547E3"/>
    <w:rsid w:val="00B55DFE"/>
    <w:rsid w:val="00B61997"/>
    <w:rsid w:val="00B62EB4"/>
    <w:rsid w:val="00B64F8C"/>
    <w:rsid w:val="00B65AC4"/>
    <w:rsid w:val="00B67612"/>
    <w:rsid w:val="00B67FD9"/>
    <w:rsid w:val="00B70241"/>
    <w:rsid w:val="00B73381"/>
    <w:rsid w:val="00B74B55"/>
    <w:rsid w:val="00B80796"/>
    <w:rsid w:val="00B8210E"/>
    <w:rsid w:val="00B82FB1"/>
    <w:rsid w:val="00B83A8F"/>
    <w:rsid w:val="00B85371"/>
    <w:rsid w:val="00B854B9"/>
    <w:rsid w:val="00B85642"/>
    <w:rsid w:val="00B858F8"/>
    <w:rsid w:val="00B90695"/>
    <w:rsid w:val="00B91BCF"/>
    <w:rsid w:val="00B91E54"/>
    <w:rsid w:val="00B921E3"/>
    <w:rsid w:val="00B92C91"/>
    <w:rsid w:val="00B9384D"/>
    <w:rsid w:val="00B93F2F"/>
    <w:rsid w:val="00B95498"/>
    <w:rsid w:val="00B958CF"/>
    <w:rsid w:val="00B961F1"/>
    <w:rsid w:val="00BA32CD"/>
    <w:rsid w:val="00BA38BF"/>
    <w:rsid w:val="00BA44AE"/>
    <w:rsid w:val="00BB02FD"/>
    <w:rsid w:val="00BB357D"/>
    <w:rsid w:val="00BB620F"/>
    <w:rsid w:val="00BC1F4F"/>
    <w:rsid w:val="00BC270B"/>
    <w:rsid w:val="00BC35D3"/>
    <w:rsid w:val="00BC4BDD"/>
    <w:rsid w:val="00BC5094"/>
    <w:rsid w:val="00BC594F"/>
    <w:rsid w:val="00BD03E8"/>
    <w:rsid w:val="00BD11C5"/>
    <w:rsid w:val="00BD1237"/>
    <w:rsid w:val="00BD3E67"/>
    <w:rsid w:val="00BD5769"/>
    <w:rsid w:val="00BD5866"/>
    <w:rsid w:val="00BD6605"/>
    <w:rsid w:val="00BD663B"/>
    <w:rsid w:val="00BD76A5"/>
    <w:rsid w:val="00BD7B73"/>
    <w:rsid w:val="00BE0077"/>
    <w:rsid w:val="00BE05D4"/>
    <w:rsid w:val="00BE1A27"/>
    <w:rsid w:val="00BE2453"/>
    <w:rsid w:val="00BE25A5"/>
    <w:rsid w:val="00BE3142"/>
    <w:rsid w:val="00BE442A"/>
    <w:rsid w:val="00BE453A"/>
    <w:rsid w:val="00BE4E72"/>
    <w:rsid w:val="00BE5B72"/>
    <w:rsid w:val="00BE7435"/>
    <w:rsid w:val="00BE7EA8"/>
    <w:rsid w:val="00BF22BD"/>
    <w:rsid w:val="00BF2CA4"/>
    <w:rsid w:val="00BF466E"/>
    <w:rsid w:val="00BF4EA7"/>
    <w:rsid w:val="00BF6DA0"/>
    <w:rsid w:val="00BF6EA7"/>
    <w:rsid w:val="00BF710B"/>
    <w:rsid w:val="00C0033C"/>
    <w:rsid w:val="00C004F1"/>
    <w:rsid w:val="00C013F2"/>
    <w:rsid w:val="00C0360F"/>
    <w:rsid w:val="00C03C7C"/>
    <w:rsid w:val="00C04180"/>
    <w:rsid w:val="00C04B7A"/>
    <w:rsid w:val="00C04FFA"/>
    <w:rsid w:val="00C07EB2"/>
    <w:rsid w:val="00C10D7F"/>
    <w:rsid w:val="00C11AD5"/>
    <w:rsid w:val="00C1239F"/>
    <w:rsid w:val="00C1292D"/>
    <w:rsid w:val="00C1419B"/>
    <w:rsid w:val="00C1670A"/>
    <w:rsid w:val="00C20296"/>
    <w:rsid w:val="00C212C4"/>
    <w:rsid w:val="00C2363F"/>
    <w:rsid w:val="00C2370C"/>
    <w:rsid w:val="00C24558"/>
    <w:rsid w:val="00C24B67"/>
    <w:rsid w:val="00C25710"/>
    <w:rsid w:val="00C25B5F"/>
    <w:rsid w:val="00C25F52"/>
    <w:rsid w:val="00C27BD9"/>
    <w:rsid w:val="00C27CDF"/>
    <w:rsid w:val="00C3046D"/>
    <w:rsid w:val="00C31582"/>
    <w:rsid w:val="00C32366"/>
    <w:rsid w:val="00C35FAA"/>
    <w:rsid w:val="00C407AC"/>
    <w:rsid w:val="00C40BE3"/>
    <w:rsid w:val="00C40F3A"/>
    <w:rsid w:val="00C41ED7"/>
    <w:rsid w:val="00C44667"/>
    <w:rsid w:val="00C44F47"/>
    <w:rsid w:val="00C45561"/>
    <w:rsid w:val="00C46DA0"/>
    <w:rsid w:val="00C478F5"/>
    <w:rsid w:val="00C533C1"/>
    <w:rsid w:val="00C53CB2"/>
    <w:rsid w:val="00C542AF"/>
    <w:rsid w:val="00C560FF"/>
    <w:rsid w:val="00C56887"/>
    <w:rsid w:val="00C56958"/>
    <w:rsid w:val="00C60266"/>
    <w:rsid w:val="00C609CE"/>
    <w:rsid w:val="00C6149C"/>
    <w:rsid w:val="00C66131"/>
    <w:rsid w:val="00C70E98"/>
    <w:rsid w:val="00C71428"/>
    <w:rsid w:val="00C72DE8"/>
    <w:rsid w:val="00C738F8"/>
    <w:rsid w:val="00C73B4C"/>
    <w:rsid w:val="00C74583"/>
    <w:rsid w:val="00C76831"/>
    <w:rsid w:val="00C8135A"/>
    <w:rsid w:val="00C81587"/>
    <w:rsid w:val="00C81DEA"/>
    <w:rsid w:val="00C83D30"/>
    <w:rsid w:val="00C8481B"/>
    <w:rsid w:val="00C860FD"/>
    <w:rsid w:val="00C86F1A"/>
    <w:rsid w:val="00C90FD5"/>
    <w:rsid w:val="00C9154A"/>
    <w:rsid w:val="00C96352"/>
    <w:rsid w:val="00C977BF"/>
    <w:rsid w:val="00CA1E14"/>
    <w:rsid w:val="00CA22D7"/>
    <w:rsid w:val="00CA2BA6"/>
    <w:rsid w:val="00CA3EBB"/>
    <w:rsid w:val="00CA47B3"/>
    <w:rsid w:val="00CA6C9B"/>
    <w:rsid w:val="00CA7420"/>
    <w:rsid w:val="00CB0680"/>
    <w:rsid w:val="00CB1254"/>
    <w:rsid w:val="00CB41EC"/>
    <w:rsid w:val="00CB5C80"/>
    <w:rsid w:val="00CB697A"/>
    <w:rsid w:val="00CB7181"/>
    <w:rsid w:val="00CB7AB8"/>
    <w:rsid w:val="00CB7BF7"/>
    <w:rsid w:val="00CB7C42"/>
    <w:rsid w:val="00CB7D27"/>
    <w:rsid w:val="00CC0FF5"/>
    <w:rsid w:val="00CC2606"/>
    <w:rsid w:val="00CC287F"/>
    <w:rsid w:val="00CC49EB"/>
    <w:rsid w:val="00CC4DE2"/>
    <w:rsid w:val="00CC604A"/>
    <w:rsid w:val="00CC6C72"/>
    <w:rsid w:val="00CD0AF0"/>
    <w:rsid w:val="00CD1A3E"/>
    <w:rsid w:val="00CD2820"/>
    <w:rsid w:val="00CD2C9A"/>
    <w:rsid w:val="00CD3505"/>
    <w:rsid w:val="00CD49B8"/>
    <w:rsid w:val="00CD5CDD"/>
    <w:rsid w:val="00CD6014"/>
    <w:rsid w:val="00CD6963"/>
    <w:rsid w:val="00CD6BD8"/>
    <w:rsid w:val="00CD71C1"/>
    <w:rsid w:val="00CE1019"/>
    <w:rsid w:val="00CE165D"/>
    <w:rsid w:val="00CE16C3"/>
    <w:rsid w:val="00CE3CDF"/>
    <w:rsid w:val="00CE5026"/>
    <w:rsid w:val="00CE62A2"/>
    <w:rsid w:val="00CE6527"/>
    <w:rsid w:val="00CE7790"/>
    <w:rsid w:val="00CF019A"/>
    <w:rsid w:val="00CF30E5"/>
    <w:rsid w:val="00CF4349"/>
    <w:rsid w:val="00CF550B"/>
    <w:rsid w:val="00D01DD2"/>
    <w:rsid w:val="00D05FB8"/>
    <w:rsid w:val="00D10578"/>
    <w:rsid w:val="00D11578"/>
    <w:rsid w:val="00D11F55"/>
    <w:rsid w:val="00D133F3"/>
    <w:rsid w:val="00D1385D"/>
    <w:rsid w:val="00D1427C"/>
    <w:rsid w:val="00D16C3E"/>
    <w:rsid w:val="00D16E02"/>
    <w:rsid w:val="00D20DC0"/>
    <w:rsid w:val="00D22CF8"/>
    <w:rsid w:val="00D24910"/>
    <w:rsid w:val="00D24BF7"/>
    <w:rsid w:val="00D264AE"/>
    <w:rsid w:val="00D27981"/>
    <w:rsid w:val="00D27EC4"/>
    <w:rsid w:val="00D30552"/>
    <w:rsid w:val="00D31FA1"/>
    <w:rsid w:val="00D332A2"/>
    <w:rsid w:val="00D36873"/>
    <w:rsid w:val="00D37F83"/>
    <w:rsid w:val="00D40BC4"/>
    <w:rsid w:val="00D41935"/>
    <w:rsid w:val="00D42646"/>
    <w:rsid w:val="00D43362"/>
    <w:rsid w:val="00D45C1E"/>
    <w:rsid w:val="00D50FDE"/>
    <w:rsid w:val="00D52C3D"/>
    <w:rsid w:val="00D52F25"/>
    <w:rsid w:val="00D53B18"/>
    <w:rsid w:val="00D5477F"/>
    <w:rsid w:val="00D54AA8"/>
    <w:rsid w:val="00D5591C"/>
    <w:rsid w:val="00D55EB3"/>
    <w:rsid w:val="00D5667B"/>
    <w:rsid w:val="00D56F99"/>
    <w:rsid w:val="00D61B40"/>
    <w:rsid w:val="00D6272E"/>
    <w:rsid w:val="00D63A93"/>
    <w:rsid w:val="00D65E95"/>
    <w:rsid w:val="00D66214"/>
    <w:rsid w:val="00D67DD2"/>
    <w:rsid w:val="00D70075"/>
    <w:rsid w:val="00D709C2"/>
    <w:rsid w:val="00D71FEF"/>
    <w:rsid w:val="00D7348C"/>
    <w:rsid w:val="00D73E13"/>
    <w:rsid w:val="00D74B77"/>
    <w:rsid w:val="00D752AA"/>
    <w:rsid w:val="00D75BCE"/>
    <w:rsid w:val="00D75C79"/>
    <w:rsid w:val="00D77012"/>
    <w:rsid w:val="00D779DE"/>
    <w:rsid w:val="00D8280A"/>
    <w:rsid w:val="00D845DF"/>
    <w:rsid w:val="00D847AB"/>
    <w:rsid w:val="00D85892"/>
    <w:rsid w:val="00D86B78"/>
    <w:rsid w:val="00D90DB8"/>
    <w:rsid w:val="00D9186B"/>
    <w:rsid w:val="00D92337"/>
    <w:rsid w:val="00D92A0E"/>
    <w:rsid w:val="00D92B16"/>
    <w:rsid w:val="00D95EBB"/>
    <w:rsid w:val="00D96525"/>
    <w:rsid w:val="00D975D9"/>
    <w:rsid w:val="00DA0FE1"/>
    <w:rsid w:val="00DA1035"/>
    <w:rsid w:val="00DA2B1C"/>
    <w:rsid w:val="00DA381B"/>
    <w:rsid w:val="00DA5CD4"/>
    <w:rsid w:val="00DA720A"/>
    <w:rsid w:val="00DA72C9"/>
    <w:rsid w:val="00DA7A36"/>
    <w:rsid w:val="00DB0A74"/>
    <w:rsid w:val="00DB135C"/>
    <w:rsid w:val="00DB19AD"/>
    <w:rsid w:val="00DB25B8"/>
    <w:rsid w:val="00DB359E"/>
    <w:rsid w:val="00DB3C04"/>
    <w:rsid w:val="00DB4A36"/>
    <w:rsid w:val="00DB4BBC"/>
    <w:rsid w:val="00DB6EF4"/>
    <w:rsid w:val="00DC168C"/>
    <w:rsid w:val="00DC2154"/>
    <w:rsid w:val="00DC5669"/>
    <w:rsid w:val="00DC5C7A"/>
    <w:rsid w:val="00DC6273"/>
    <w:rsid w:val="00DC6369"/>
    <w:rsid w:val="00DC6E10"/>
    <w:rsid w:val="00DC6E41"/>
    <w:rsid w:val="00DC7B0A"/>
    <w:rsid w:val="00DD0459"/>
    <w:rsid w:val="00DD10ED"/>
    <w:rsid w:val="00DD15CC"/>
    <w:rsid w:val="00DD15DF"/>
    <w:rsid w:val="00DD3008"/>
    <w:rsid w:val="00DD4029"/>
    <w:rsid w:val="00DD4058"/>
    <w:rsid w:val="00DD4D8B"/>
    <w:rsid w:val="00DD7B63"/>
    <w:rsid w:val="00DE2912"/>
    <w:rsid w:val="00DE4DAA"/>
    <w:rsid w:val="00DE6462"/>
    <w:rsid w:val="00DE746C"/>
    <w:rsid w:val="00DF10DB"/>
    <w:rsid w:val="00DF1975"/>
    <w:rsid w:val="00DF1DA4"/>
    <w:rsid w:val="00DF42B9"/>
    <w:rsid w:val="00DF4432"/>
    <w:rsid w:val="00DF564A"/>
    <w:rsid w:val="00DF574A"/>
    <w:rsid w:val="00DF5BCD"/>
    <w:rsid w:val="00E0150C"/>
    <w:rsid w:val="00E01959"/>
    <w:rsid w:val="00E0317F"/>
    <w:rsid w:val="00E04777"/>
    <w:rsid w:val="00E05B5E"/>
    <w:rsid w:val="00E07161"/>
    <w:rsid w:val="00E075DE"/>
    <w:rsid w:val="00E07770"/>
    <w:rsid w:val="00E10097"/>
    <w:rsid w:val="00E10476"/>
    <w:rsid w:val="00E10675"/>
    <w:rsid w:val="00E12C0F"/>
    <w:rsid w:val="00E15A0E"/>
    <w:rsid w:val="00E16E86"/>
    <w:rsid w:val="00E17426"/>
    <w:rsid w:val="00E17988"/>
    <w:rsid w:val="00E20EE9"/>
    <w:rsid w:val="00E21216"/>
    <w:rsid w:val="00E217E3"/>
    <w:rsid w:val="00E21C2E"/>
    <w:rsid w:val="00E21DFB"/>
    <w:rsid w:val="00E229C0"/>
    <w:rsid w:val="00E24DC7"/>
    <w:rsid w:val="00E25514"/>
    <w:rsid w:val="00E25E90"/>
    <w:rsid w:val="00E27517"/>
    <w:rsid w:val="00E27EE7"/>
    <w:rsid w:val="00E31246"/>
    <w:rsid w:val="00E32304"/>
    <w:rsid w:val="00E329FB"/>
    <w:rsid w:val="00E336D0"/>
    <w:rsid w:val="00E341E7"/>
    <w:rsid w:val="00E35518"/>
    <w:rsid w:val="00E37BCF"/>
    <w:rsid w:val="00E4081E"/>
    <w:rsid w:val="00E408A3"/>
    <w:rsid w:val="00E423BB"/>
    <w:rsid w:val="00E4736C"/>
    <w:rsid w:val="00E47962"/>
    <w:rsid w:val="00E47AB6"/>
    <w:rsid w:val="00E514E9"/>
    <w:rsid w:val="00E523E8"/>
    <w:rsid w:val="00E530A5"/>
    <w:rsid w:val="00E53517"/>
    <w:rsid w:val="00E53C89"/>
    <w:rsid w:val="00E573F6"/>
    <w:rsid w:val="00E6078B"/>
    <w:rsid w:val="00E61265"/>
    <w:rsid w:val="00E6166C"/>
    <w:rsid w:val="00E646BE"/>
    <w:rsid w:val="00E6516C"/>
    <w:rsid w:val="00E65626"/>
    <w:rsid w:val="00E66075"/>
    <w:rsid w:val="00E66818"/>
    <w:rsid w:val="00E671C6"/>
    <w:rsid w:val="00E672FC"/>
    <w:rsid w:val="00E67EF5"/>
    <w:rsid w:val="00E73127"/>
    <w:rsid w:val="00E740EE"/>
    <w:rsid w:val="00E7468D"/>
    <w:rsid w:val="00E811B7"/>
    <w:rsid w:val="00E818BA"/>
    <w:rsid w:val="00E82506"/>
    <w:rsid w:val="00E844B6"/>
    <w:rsid w:val="00E877EC"/>
    <w:rsid w:val="00E9131D"/>
    <w:rsid w:val="00E913BA"/>
    <w:rsid w:val="00E93657"/>
    <w:rsid w:val="00E95DC5"/>
    <w:rsid w:val="00E9664A"/>
    <w:rsid w:val="00E97155"/>
    <w:rsid w:val="00EA1674"/>
    <w:rsid w:val="00EA1CCE"/>
    <w:rsid w:val="00EA5021"/>
    <w:rsid w:val="00EA65C0"/>
    <w:rsid w:val="00EA7358"/>
    <w:rsid w:val="00EA74B6"/>
    <w:rsid w:val="00EA7CC8"/>
    <w:rsid w:val="00EA7FF5"/>
    <w:rsid w:val="00EB0207"/>
    <w:rsid w:val="00EB03A7"/>
    <w:rsid w:val="00EC02F7"/>
    <w:rsid w:val="00EC0D3A"/>
    <w:rsid w:val="00EC12B9"/>
    <w:rsid w:val="00EC1C6F"/>
    <w:rsid w:val="00EC21AA"/>
    <w:rsid w:val="00EC494E"/>
    <w:rsid w:val="00EC775B"/>
    <w:rsid w:val="00ED2535"/>
    <w:rsid w:val="00ED2E64"/>
    <w:rsid w:val="00ED3271"/>
    <w:rsid w:val="00ED3872"/>
    <w:rsid w:val="00ED490D"/>
    <w:rsid w:val="00ED622C"/>
    <w:rsid w:val="00ED6F6C"/>
    <w:rsid w:val="00ED7E43"/>
    <w:rsid w:val="00EE01A2"/>
    <w:rsid w:val="00EE20AC"/>
    <w:rsid w:val="00EE2254"/>
    <w:rsid w:val="00EF04A6"/>
    <w:rsid w:val="00EF2E85"/>
    <w:rsid w:val="00EF5457"/>
    <w:rsid w:val="00EF59DE"/>
    <w:rsid w:val="00EF6456"/>
    <w:rsid w:val="00EF655A"/>
    <w:rsid w:val="00EF7E38"/>
    <w:rsid w:val="00F01ABB"/>
    <w:rsid w:val="00F026A7"/>
    <w:rsid w:val="00F02B39"/>
    <w:rsid w:val="00F04790"/>
    <w:rsid w:val="00F048D0"/>
    <w:rsid w:val="00F04B95"/>
    <w:rsid w:val="00F053A7"/>
    <w:rsid w:val="00F07B80"/>
    <w:rsid w:val="00F07ED2"/>
    <w:rsid w:val="00F13AC3"/>
    <w:rsid w:val="00F14840"/>
    <w:rsid w:val="00F16E64"/>
    <w:rsid w:val="00F17980"/>
    <w:rsid w:val="00F20B16"/>
    <w:rsid w:val="00F21354"/>
    <w:rsid w:val="00F22B4F"/>
    <w:rsid w:val="00F24187"/>
    <w:rsid w:val="00F25AC0"/>
    <w:rsid w:val="00F30072"/>
    <w:rsid w:val="00F31781"/>
    <w:rsid w:val="00F31ACE"/>
    <w:rsid w:val="00F31F22"/>
    <w:rsid w:val="00F31FC9"/>
    <w:rsid w:val="00F3325F"/>
    <w:rsid w:val="00F34B41"/>
    <w:rsid w:val="00F36DBA"/>
    <w:rsid w:val="00F3782D"/>
    <w:rsid w:val="00F37B03"/>
    <w:rsid w:val="00F424BA"/>
    <w:rsid w:val="00F42584"/>
    <w:rsid w:val="00F45A01"/>
    <w:rsid w:val="00F4706B"/>
    <w:rsid w:val="00F47785"/>
    <w:rsid w:val="00F5205C"/>
    <w:rsid w:val="00F53358"/>
    <w:rsid w:val="00F55DDF"/>
    <w:rsid w:val="00F5709F"/>
    <w:rsid w:val="00F60467"/>
    <w:rsid w:val="00F61BF4"/>
    <w:rsid w:val="00F63773"/>
    <w:rsid w:val="00F66A0A"/>
    <w:rsid w:val="00F67141"/>
    <w:rsid w:val="00F73D7B"/>
    <w:rsid w:val="00F73DCF"/>
    <w:rsid w:val="00F742CE"/>
    <w:rsid w:val="00F7461D"/>
    <w:rsid w:val="00F80A89"/>
    <w:rsid w:val="00F80B96"/>
    <w:rsid w:val="00F81A6E"/>
    <w:rsid w:val="00F8381F"/>
    <w:rsid w:val="00F839F5"/>
    <w:rsid w:val="00F8476A"/>
    <w:rsid w:val="00F91C9F"/>
    <w:rsid w:val="00F9485B"/>
    <w:rsid w:val="00F95752"/>
    <w:rsid w:val="00F964A7"/>
    <w:rsid w:val="00F96B7A"/>
    <w:rsid w:val="00F9769D"/>
    <w:rsid w:val="00FA070E"/>
    <w:rsid w:val="00FA1399"/>
    <w:rsid w:val="00FA171B"/>
    <w:rsid w:val="00FA2BEC"/>
    <w:rsid w:val="00FA2CB5"/>
    <w:rsid w:val="00FA3F11"/>
    <w:rsid w:val="00FA4226"/>
    <w:rsid w:val="00FA427D"/>
    <w:rsid w:val="00FA44B8"/>
    <w:rsid w:val="00FA4FC7"/>
    <w:rsid w:val="00FA60C0"/>
    <w:rsid w:val="00FB0A36"/>
    <w:rsid w:val="00FB3BAB"/>
    <w:rsid w:val="00FB3C16"/>
    <w:rsid w:val="00FB508F"/>
    <w:rsid w:val="00FB518A"/>
    <w:rsid w:val="00FB52B5"/>
    <w:rsid w:val="00FB6EC2"/>
    <w:rsid w:val="00FC401D"/>
    <w:rsid w:val="00FC4DF2"/>
    <w:rsid w:val="00FC5C4E"/>
    <w:rsid w:val="00FC7A89"/>
    <w:rsid w:val="00FD16A3"/>
    <w:rsid w:val="00FD17F2"/>
    <w:rsid w:val="00FD1D47"/>
    <w:rsid w:val="00FD269F"/>
    <w:rsid w:val="00FD4A07"/>
    <w:rsid w:val="00FD63A2"/>
    <w:rsid w:val="00FD6F7F"/>
    <w:rsid w:val="00FD760C"/>
    <w:rsid w:val="00FD77CE"/>
    <w:rsid w:val="00FE0D01"/>
    <w:rsid w:val="00FE0D30"/>
    <w:rsid w:val="00FE2E21"/>
    <w:rsid w:val="00FE322A"/>
    <w:rsid w:val="00FE4BCA"/>
    <w:rsid w:val="00FE53E3"/>
    <w:rsid w:val="00FE5EB4"/>
    <w:rsid w:val="00FE6FE9"/>
    <w:rsid w:val="00FF05D1"/>
    <w:rsid w:val="00FF23FA"/>
    <w:rsid w:val="00FF6B3C"/>
    <w:rsid w:val="02094A42"/>
    <w:rsid w:val="020A643C"/>
    <w:rsid w:val="021E361A"/>
    <w:rsid w:val="024737BC"/>
    <w:rsid w:val="02477318"/>
    <w:rsid w:val="024C492F"/>
    <w:rsid w:val="02686F3C"/>
    <w:rsid w:val="027F4D04"/>
    <w:rsid w:val="02915BD4"/>
    <w:rsid w:val="02B7624C"/>
    <w:rsid w:val="033A0C2B"/>
    <w:rsid w:val="034D4E02"/>
    <w:rsid w:val="03F45E22"/>
    <w:rsid w:val="04062602"/>
    <w:rsid w:val="040C0DC0"/>
    <w:rsid w:val="041D4598"/>
    <w:rsid w:val="04491C88"/>
    <w:rsid w:val="04D94D3A"/>
    <w:rsid w:val="04E02B2B"/>
    <w:rsid w:val="04FC4D26"/>
    <w:rsid w:val="05347B41"/>
    <w:rsid w:val="05A073E5"/>
    <w:rsid w:val="05AF09A3"/>
    <w:rsid w:val="06043E9E"/>
    <w:rsid w:val="06123A36"/>
    <w:rsid w:val="062067FE"/>
    <w:rsid w:val="0628486C"/>
    <w:rsid w:val="06A80689"/>
    <w:rsid w:val="06D32A27"/>
    <w:rsid w:val="06EB6E0C"/>
    <w:rsid w:val="071620E5"/>
    <w:rsid w:val="07534802"/>
    <w:rsid w:val="075555F9"/>
    <w:rsid w:val="07B16389"/>
    <w:rsid w:val="07BA233A"/>
    <w:rsid w:val="07BC2556"/>
    <w:rsid w:val="07C15BDA"/>
    <w:rsid w:val="07C64BEF"/>
    <w:rsid w:val="07CA07CF"/>
    <w:rsid w:val="07D8541D"/>
    <w:rsid w:val="08071A24"/>
    <w:rsid w:val="08B23217"/>
    <w:rsid w:val="08B3460C"/>
    <w:rsid w:val="08E7715F"/>
    <w:rsid w:val="0917398F"/>
    <w:rsid w:val="093162F6"/>
    <w:rsid w:val="096307D5"/>
    <w:rsid w:val="09D516AE"/>
    <w:rsid w:val="09E960B4"/>
    <w:rsid w:val="0A334AFA"/>
    <w:rsid w:val="0A710CF0"/>
    <w:rsid w:val="0AA57579"/>
    <w:rsid w:val="0AB93A02"/>
    <w:rsid w:val="0B0D53F2"/>
    <w:rsid w:val="0B2C6C86"/>
    <w:rsid w:val="0B2D0EF2"/>
    <w:rsid w:val="0B514D20"/>
    <w:rsid w:val="0B521208"/>
    <w:rsid w:val="0B6E5916"/>
    <w:rsid w:val="0BB50923"/>
    <w:rsid w:val="0BEC1208"/>
    <w:rsid w:val="0C405504"/>
    <w:rsid w:val="0C6B38D9"/>
    <w:rsid w:val="0C9D4705"/>
    <w:rsid w:val="0D2830FA"/>
    <w:rsid w:val="0D984ECC"/>
    <w:rsid w:val="0DA35B38"/>
    <w:rsid w:val="0DF30354"/>
    <w:rsid w:val="0DF93E88"/>
    <w:rsid w:val="0E0D58BA"/>
    <w:rsid w:val="0EB311A5"/>
    <w:rsid w:val="0EB72374"/>
    <w:rsid w:val="0EBF11A5"/>
    <w:rsid w:val="0F02185F"/>
    <w:rsid w:val="0F114F36"/>
    <w:rsid w:val="0F184516"/>
    <w:rsid w:val="0F1A1821"/>
    <w:rsid w:val="0F1B64A9"/>
    <w:rsid w:val="0F4A5683"/>
    <w:rsid w:val="0F6C4521"/>
    <w:rsid w:val="0F6E478E"/>
    <w:rsid w:val="0F727459"/>
    <w:rsid w:val="0FA04579"/>
    <w:rsid w:val="0FC74A42"/>
    <w:rsid w:val="0FFB00D2"/>
    <w:rsid w:val="100827DD"/>
    <w:rsid w:val="10407005"/>
    <w:rsid w:val="108E0E5B"/>
    <w:rsid w:val="10954E5F"/>
    <w:rsid w:val="10B65D95"/>
    <w:rsid w:val="10DB3A4D"/>
    <w:rsid w:val="11124876"/>
    <w:rsid w:val="1122342A"/>
    <w:rsid w:val="11271616"/>
    <w:rsid w:val="11A67D8E"/>
    <w:rsid w:val="11C52D01"/>
    <w:rsid w:val="11E22BBA"/>
    <w:rsid w:val="11FC1ECD"/>
    <w:rsid w:val="124240F7"/>
    <w:rsid w:val="12581A0E"/>
    <w:rsid w:val="12AC38F3"/>
    <w:rsid w:val="12F64B6E"/>
    <w:rsid w:val="134D37E4"/>
    <w:rsid w:val="13862EC7"/>
    <w:rsid w:val="13AB59B3"/>
    <w:rsid w:val="13D34EB0"/>
    <w:rsid w:val="13E72709"/>
    <w:rsid w:val="14256746"/>
    <w:rsid w:val="1430407F"/>
    <w:rsid w:val="1445057C"/>
    <w:rsid w:val="14451E20"/>
    <w:rsid w:val="148252BB"/>
    <w:rsid w:val="148E388D"/>
    <w:rsid w:val="149D09AA"/>
    <w:rsid w:val="14AD347D"/>
    <w:rsid w:val="14E44F0D"/>
    <w:rsid w:val="14E6467A"/>
    <w:rsid w:val="15015A4D"/>
    <w:rsid w:val="154E344F"/>
    <w:rsid w:val="15804BC3"/>
    <w:rsid w:val="15D901DD"/>
    <w:rsid w:val="15E16F60"/>
    <w:rsid w:val="15EE7A56"/>
    <w:rsid w:val="161C2E01"/>
    <w:rsid w:val="163D56BC"/>
    <w:rsid w:val="164A2FF9"/>
    <w:rsid w:val="164B5ADE"/>
    <w:rsid w:val="16646293"/>
    <w:rsid w:val="16725799"/>
    <w:rsid w:val="167364D6"/>
    <w:rsid w:val="169A54FF"/>
    <w:rsid w:val="16CC6DC0"/>
    <w:rsid w:val="16D664AB"/>
    <w:rsid w:val="16D74D71"/>
    <w:rsid w:val="16D84157"/>
    <w:rsid w:val="16E16C84"/>
    <w:rsid w:val="171A390B"/>
    <w:rsid w:val="172A63A2"/>
    <w:rsid w:val="172D6247"/>
    <w:rsid w:val="173F64B9"/>
    <w:rsid w:val="176A5B2B"/>
    <w:rsid w:val="17884203"/>
    <w:rsid w:val="17A54DB5"/>
    <w:rsid w:val="184C3483"/>
    <w:rsid w:val="18954E2A"/>
    <w:rsid w:val="18A312F5"/>
    <w:rsid w:val="18DC19DC"/>
    <w:rsid w:val="18ED2570"/>
    <w:rsid w:val="18F34839"/>
    <w:rsid w:val="18F62C73"/>
    <w:rsid w:val="19247607"/>
    <w:rsid w:val="198964EF"/>
    <w:rsid w:val="19F32599"/>
    <w:rsid w:val="1A0604A0"/>
    <w:rsid w:val="1A1135A6"/>
    <w:rsid w:val="1A551301"/>
    <w:rsid w:val="1AA17AB6"/>
    <w:rsid w:val="1B754A9E"/>
    <w:rsid w:val="1B816A79"/>
    <w:rsid w:val="1BCB0F20"/>
    <w:rsid w:val="1BD30846"/>
    <w:rsid w:val="1BE045D1"/>
    <w:rsid w:val="1BFB4709"/>
    <w:rsid w:val="1C1C208B"/>
    <w:rsid w:val="1C384969"/>
    <w:rsid w:val="1C3976B6"/>
    <w:rsid w:val="1C78593D"/>
    <w:rsid w:val="1C7860C2"/>
    <w:rsid w:val="1C8E08F9"/>
    <w:rsid w:val="1CD21B44"/>
    <w:rsid w:val="1D1C3AF5"/>
    <w:rsid w:val="1D3A1AFC"/>
    <w:rsid w:val="1D6D6C96"/>
    <w:rsid w:val="1D83596E"/>
    <w:rsid w:val="1DBB2253"/>
    <w:rsid w:val="1DFF281E"/>
    <w:rsid w:val="1E191E79"/>
    <w:rsid w:val="1E263D18"/>
    <w:rsid w:val="1E827C5E"/>
    <w:rsid w:val="1EC27C00"/>
    <w:rsid w:val="1ED017CA"/>
    <w:rsid w:val="1EEB0813"/>
    <w:rsid w:val="1F172D74"/>
    <w:rsid w:val="1F3D0A9D"/>
    <w:rsid w:val="1F7D3A80"/>
    <w:rsid w:val="1FA83694"/>
    <w:rsid w:val="1FA92F69"/>
    <w:rsid w:val="1FD5349E"/>
    <w:rsid w:val="1FE55B2B"/>
    <w:rsid w:val="1FEB3D38"/>
    <w:rsid w:val="20075E7D"/>
    <w:rsid w:val="202503B9"/>
    <w:rsid w:val="209F6BBC"/>
    <w:rsid w:val="20B6593D"/>
    <w:rsid w:val="20C25908"/>
    <w:rsid w:val="20C31E08"/>
    <w:rsid w:val="210F369F"/>
    <w:rsid w:val="21825ECF"/>
    <w:rsid w:val="21A34113"/>
    <w:rsid w:val="21D64364"/>
    <w:rsid w:val="21ED1832"/>
    <w:rsid w:val="21FA1DE1"/>
    <w:rsid w:val="22441703"/>
    <w:rsid w:val="22596DD3"/>
    <w:rsid w:val="225E2745"/>
    <w:rsid w:val="2277734E"/>
    <w:rsid w:val="22C83FCD"/>
    <w:rsid w:val="22DF561F"/>
    <w:rsid w:val="2307429F"/>
    <w:rsid w:val="23342706"/>
    <w:rsid w:val="23390171"/>
    <w:rsid w:val="23601519"/>
    <w:rsid w:val="23614286"/>
    <w:rsid w:val="237C21B0"/>
    <w:rsid w:val="2386261A"/>
    <w:rsid w:val="23A75ACB"/>
    <w:rsid w:val="23C75F7A"/>
    <w:rsid w:val="23EE5289"/>
    <w:rsid w:val="23FC5D5D"/>
    <w:rsid w:val="24203678"/>
    <w:rsid w:val="24C91ACC"/>
    <w:rsid w:val="25180974"/>
    <w:rsid w:val="25292CD8"/>
    <w:rsid w:val="25304C69"/>
    <w:rsid w:val="255E112A"/>
    <w:rsid w:val="25727790"/>
    <w:rsid w:val="25820BA0"/>
    <w:rsid w:val="25BE1327"/>
    <w:rsid w:val="266A3452"/>
    <w:rsid w:val="26947D61"/>
    <w:rsid w:val="27303011"/>
    <w:rsid w:val="273A1389"/>
    <w:rsid w:val="27B958A6"/>
    <w:rsid w:val="27C87BE2"/>
    <w:rsid w:val="27D019DA"/>
    <w:rsid w:val="27E47B51"/>
    <w:rsid w:val="27FB5925"/>
    <w:rsid w:val="28B267BD"/>
    <w:rsid w:val="28BC1F5F"/>
    <w:rsid w:val="28DB1810"/>
    <w:rsid w:val="290E2DC6"/>
    <w:rsid w:val="29403501"/>
    <w:rsid w:val="29912DA0"/>
    <w:rsid w:val="29BA59A3"/>
    <w:rsid w:val="29F630D0"/>
    <w:rsid w:val="2A0204DC"/>
    <w:rsid w:val="2A346388"/>
    <w:rsid w:val="2A834AE2"/>
    <w:rsid w:val="2A8655E8"/>
    <w:rsid w:val="2AF94DA4"/>
    <w:rsid w:val="2B2B14D8"/>
    <w:rsid w:val="2B443AFE"/>
    <w:rsid w:val="2B86522D"/>
    <w:rsid w:val="2BDD414D"/>
    <w:rsid w:val="2BEC4909"/>
    <w:rsid w:val="2C0371FF"/>
    <w:rsid w:val="2C0559CB"/>
    <w:rsid w:val="2C34214A"/>
    <w:rsid w:val="2C8507C8"/>
    <w:rsid w:val="2CD35819"/>
    <w:rsid w:val="2CF26608"/>
    <w:rsid w:val="2D087713"/>
    <w:rsid w:val="2D9E7A4D"/>
    <w:rsid w:val="2DF16C9C"/>
    <w:rsid w:val="2E0D5932"/>
    <w:rsid w:val="2E2B07E6"/>
    <w:rsid w:val="2E4B4D1F"/>
    <w:rsid w:val="2E676DCB"/>
    <w:rsid w:val="2E8819F0"/>
    <w:rsid w:val="2EBC4A66"/>
    <w:rsid w:val="2EE629EF"/>
    <w:rsid w:val="2EF4759D"/>
    <w:rsid w:val="2F4651E4"/>
    <w:rsid w:val="2F6A13F9"/>
    <w:rsid w:val="2F7C1429"/>
    <w:rsid w:val="2FED022B"/>
    <w:rsid w:val="30060D9F"/>
    <w:rsid w:val="30295698"/>
    <w:rsid w:val="302B2A01"/>
    <w:rsid w:val="30444D13"/>
    <w:rsid w:val="306905CF"/>
    <w:rsid w:val="307531BD"/>
    <w:rsid w:val="30A6156D"/>
    <w:rsid w:val="31193217"/>
    <w:rsid w:val="31436D79"/>
    <w:rsid w:val="315076E8"/>
    <w:rsid w:val="31772866"/>
    <w:rsid w:val="31E55A23"/>
    <w:rsid w:val="31FE6CEB"/>
    <w:rsid w:val="32290665"/>
    <w:rsid w:val="32326CC0"/>
    <w:rsid w:val="324C19A9"/>
    <w:rsid w:val="325B6344"/>
    <w:rsid w:val="32D541E9"/>
    <w:rsid w:val="334E5D5A"/>
    <w:rsid w:val="33A65CE5"/>
    <w:rsid w:val="33DB6DE1"/>
    <w:rsid w:val="33FD07C5"/>
    <w:rsid w:val="340000EC"/>
    <w:rsid w:val="340D5CDF"/>
    <w:rsid w:val="34275ADF"/>
    <w:rsid w:val="34313801"/>
    <w:rsid w:val="34570B55"/>
    <w:rsid w:val="34D36666"/>
    <w:rsid w:val="34EB04B0"/>
    <w:rsid w:val="34FC4C0F"/>
    <w:rsid w:val="35693B77"/>
    <w:rsid w:val="35921DD3"/>
    <w:rsid w:val="35D57C53"/>
    <w:rsid w:val="35E779A9"/>
    <w:rsid w:val="35F26FC0"/>
    <w:rsid w:val="360867E3"/>
    <w:rsid w:val="36373015"/>
    <w:rsid w:val="36E711BF"/>
    <w:rsid w:val="36F62B9D"/>
    <w:rsid w:val="36FD5C1C"/>
    <w:rsid w:val="373D76DE"/>
    <w:rsid w:val="377F0D27"/>
    <w:rsid w:val="37971BCD"/>
    <w:rsid w:val="37E01890"/>
    <w:rsid w:val="38975BFC"/>
    <w:rsid w:val="38A02D03"/>
    <w:rsid w:val="390842F2"/>
    <w:rsid w:val="399001B6"/>
    <w:rsid w:val="39A85397"/>
    <w:rsid w:val="39C1132F"/>
    <w:rsid w:val="39CD14B1"/>
    <w:rsid w:val="39CE564E"/>
    <w:rsid w:val="39D72CD7"/>
    <w:rsid w:val="39F90199"/>
    <w:rsid w:val="3A033549"/>
    <w:rsid w:val="3A6164C2"/>
    <w:rsid w:val="3A86417A"/>
    <w:rsid w:val="3AB26D1E"/>
    <w:rsid w:val="3AC3031F"/>
    <w:rsid w:val="3AC968F4"/>
    <w:rsid w:val="3AE96BE3"/>
    <w:rsid w:val="3B0F3BFE"/>
    <w:rsid w:val="3B24652D"/>
    <w:rsid w:val="3B581673"/>
    <w:rsid w:val="3B5878C5"/>
    <w:rsid w:val="3B667A0B"/>
    <w:rsid w:val="3C114DEB"/>
    <w:rsid w:val="3C243C4B"/>
    <w:rsid w:val="3C492024"/>
    <w:rsid w:val="3C5E14CA"/>
    <w:rsid w:val="3CCF19EA"/>
    <w:rsid w:val="3D2B61E5"/>
    <w:rsid w:val="3D4253F0"/>
    <w:rsid w:val="3DAC214A"/>
    <w:rsid w:val="3E22364C"/>
    <w:rsid w:val="3E713679"/>
    <w:rsid w:val="3E854E75"/>
    <w:rsid w:val="3EAD7F28"/>
    <w:rsid w:val="3EE9479B"/>
    <w:rsid w:val="3F0833B0"/>
    <w:rsid w:val="3F2850AC"/>
    <w:rsid w:val="3F382CDB"/>
    <w:rsid w:val="3F40466A"/>
    <w:rsid w:val="3F6A7BC7"/>
    <w:rsid w:val="3F7E32BD"/>
    <w:rsid w:val="3FC64E51"/>
    <w:rsid w:val="3FE1799F"/>
    <w:rsid w:val="3FFA3353"/>
    <w:rsid w:val="401144E6"/>
    <w:rsid w:val="404426C9"/>
    <w:rsid w:val="4049171A"/>
    <w:rsid w:val="405E6BA3"/>
    <w:rsid w:val="40B51316"/>
    <w:rsid w:val="410C350C"/>
    <w:rsid w:val="412070D7"/>
    <w:rsid w:val="41523008"/>
    <w:rsid w:val="417877B9"/>
    <w:rsid w:val="419C54EE"/>
    <w:rsid w:val="42074979"/>
    <w:rsid w:val="420D6D5B"/>
    <w:rsid w:val="4234678A"/>
    <w:rsid w:val="426A5F44"/>
    <w:rsid w:val="428D4A85"/>
    <w:rsid w:val="42AA6B8A"/>
    <w:rsid w:val="43192030"/>
    <w:rsid w:val="43264DC4"/>
    <w:rsid w:val="432F52B9"/>
    <w:rsid w:val="43521E69"/>
    <w:rsid w:val="43AD4526"/>
    <w:rsid w:val="43CB32AB"/>
    <w:rsid w:val="44970D47"/>
    <w:rsid w:val="44A85F4D"/>
    <w:rsid w:val="44B26298"/>
    <w:rsid w:val="44BC7167"/>
    <w:rsid w:val="450B03D5"/>
    <w:rsid w:val="45135767"/>
    <w:rsid w:val="45154A79"/>
    <w:rsid w:val="45435C09"/>
    <w:rsid w:val="457A648F"/>
    <w:rsid w:val="457F5294"/>
    <w:rsid w:val="45A7582A"/>
    <w:rsid w:val="45A84272"/>
    <w:rsid w:val="45F735B3"/>
    <w:rsid w:val="46595BDB"/>
    <w:rsid w:val="465A4166"/>
    <w:rsid w:val="469D1CC5"/>
    <w:rsid w:val="46AF3B9A"/>
    <w:rsid w:val="47C860D8"/>
    <w:rsid w:val="47F646ED"/>
    <w:rsid w:val="482E5EE4"/>
    <w:rsid w:val="484F2AC7"/>
    <w:rsid w:val="48683B06"/>
    <w:rsid w:val="486D4FD7"/>
    <w:rsid w:val="492040A3"/>
    <w:rsid w:val="49291217"/>
    <w:rsid w:val="493349F1"/>
    <w:rsid w:val="493354CD"/>
    <w:rsid w:val="49366D6C"/>
    <w:rsid w:val="496C6379"/>
    <w:rsid w:val="496E1A5C"/>
    <w:rsid w:val="49D92519"/>
    <w:rsid w:val="49FF06F8"/>
    <w:rsid w:val="4A0923B0"/>
    <w:rsid w:val="4A255B34"/>
    <w:rsid w:val="4A40330C"/>
    <w:rsid w:val="4A6053B1"/>
    <w:rsid w:val="4A850FAC"/>
    <w:rsid w:val="4AB40A96"/>
    <w:rsid w:val="4ADB1D3F"/>
    <w:rsid w:val="4B105FE1"/>
    <w:rsid w:val="4B306168"/>
    <w:rsid w:val="4B813883"/>
    <w:rsid w:val="4BBF5489"/>
    <w:rsid w:val="4C033037"/>
    <w:rsid w:val="4C0347B3"/>
    <w:rsid w:val="4C1635B0"/>
    <w:rsid w:val="4C3374DA"/>
    <w:rsid w:val="4C4579F1"/>
    <w:rsid w:val="4C506E47"/>
    <w:rsid w:val="4C5E4F57"/>
    <w:rsid w:val="4CCD3ADC"/>
    <w:rsid w:val="4D1C4DAC"/>
    <w:rsid w:val="4D8E361A"/>
    <w:rsid w:val="4DA75E06"/>
    <w:rsid w:val="4DB348A4"/>
    <w:rsid w:val="4DC639CA"/>
    <w:rsid w:val="4E005483"/>
    <w:rsid w:val="4E7244DA"/>
    <w:rsid w:val="4E763F4C"/>
    <w:rsid w:val="4E80524A"/>
    <w:rsid w:val="4EBC7D13"/>
    <w:rsid w:val="4ED74725"/>
    <w:rsid w:val="4F4F47FA"/>
    <w:rsid w:val="4F74239C"/>
    <w:rsid w:val="4FD01CC8"/>
    <w:rsid w:val="4FD36550"/>
    <w:rsid w:val="50360CF1"/>
    <w:rsid w:val="50416722"/>
    <w:rsid w:val="5043249A"/>
    <w:rsid w:val="504C3656"/>
    <w:rsid w:val="508B59D9"/>
    <w:rsid w:val="509719CC"/>
    <w:rsid w:val="51A151B5"/>
    <w:rsid w:val="51BA49DE"/>
    <w:rsid w:val="51E14F57"/>
    <w:rsid w:val="51FE2D61"/>
    <w:rsid w:val="52302EF2"/>
    <w:rsid w:val="525A0022"/>
    <w:rsid w:val="5275049E"/>
    <w:rsid w:val="52972F71"/>
    <w:rsid w:val="529D1349"/>
    <w:rsid w:val="531914B4"/>
    <w:rsid w:val="5336559A"/>
    <w:rsid w:val="535B028A"/>
    <w:rsid w:val="5367649F"/>
    <w:rsid w:val="536F5583"/>
    <w:rsid w:val="53762B86"/>
    <w:rsid w:val="537D5CC3"/>
    <w:rsid w:val="53AC3A67"/>
    <w:rsid w:val="53C44EA3"/>
    <w:rsid w:val="54091C4C"/>
    <w:rsid w:val="54183DB4"/>
    <w:rsid w:val="54AE7962"/>
    <w:rsid w:val="54DE653D"/>
    <w:rsid w:val="55051AA9"/>
    <w:rsid w:val="55055AB5"/>
    <w:rsid w:val="55116DC9"/>
    <w:rsid w:val="55236CDC"/>
    <w:rsid w:val="558F4CD1"/>
    <w:rsid w:val="55A75279"/>
    <w:rsid w:val="55C66928"/>
    <w:rsid w:val="56137158"/>
    <w:rsid w:val="562523CC"/>
    <w:rsid w:val="56487181"/>
    <w:rsid w:val="567426CC"/>
    <w:rsid w:val="56882626"/>
    <w:rsid w:val="569A4DDE"/>
    <w:rsid w:val="569B0991"/>
    <w:rsid w:val="56A12CD0"/>
    <w:rsid w:val="57030BD5"/>
    <w:rsid w:val="57170A9E"/>
    <w:rsid w:val="572A00B9"/>
    <w:rsid w:val="574A6804"/>
    <w:rsid w:val="57593A1A"/>
    <w:rsid w:val="576B2C57"/>
    <w:rsid w:val="57711E2A"/>
    <w:rsid w:val="57A33AB2"/>
    <w:rsid w:val="57DB6815"/>
    <w:rsid w:val="5852253F"/>
    <w:rsid w:val="58D00E03"/>
    <w:rsid w:val="58F46A27"/>
    <w:rsid w:val="590241C7"/>
    <w:rsid w:val="59084C10"/>
    <w:rsid w:val="596A632A"/>
    <w:rsid w:val="597D4B41"/>
    <w:rsid w:val="598B47A0"/>
    <w:rsid w:val="59953C49"/>
    <w:rsid w:val="59D21D74"/>
    <w:rsid w:val="5A0507C0"/>
    <w:rsid w:val="5A184997"/>
    <w:rsid w:val="5A44578C"/>
    <w:rsid w:val="5A975FFA"/>
    <w:rsid w:val="5AF56A87"/>
    <w:rsid w:val="5AF95B89"/>
    <w:rsid w:val="5B052C3A"/>
    <w:rsid w:val="5B2F3085"/>
    <w:rsid w:val="5B885664"/>
    <w:rsid w:val="5B894D60"/>
    <w:rsid w:val="5BE35AFD"/>
    <w:rsid w:val="5C2C7D81"/>
    <w:rsid w:val="5C582605"/>
    <w:rsid w:val="5C5A5EB6"/>
    <w:rsid w:val="5CA250EE"/>
    <w:rsid w:val="5CA331D2"/>
    <w:rsid w:val="5CE24DE9"/>
    <w:rsid w:val="5D0478D0"/>
    <w:rsid w:val="5D082FAD"/>
    <w:rsid w:val="5D656296"/>
    <w:rsid w:val="5D720862"/>
    <w:rsid w:val="5D8108FB"/>
    <w:rsid w:val="5DB6074F"/>
    <w:rsid w:val="5E253FC9"/>
    <w:rsid w:val="5E4F44B3"/>
    <w:rsid w:val="5E614376"/>
    <w:rsid w:val="5EC22B08"/>
    <w:rsid w:val="5EF26DE6"/>
    <w:rsid w:val="5EF51BEB"/>
    <w:rsid w:val="5F057637"/>
    <w:rsid w:val="5F1C3A73"/>
    <w:rsid w:val="5F6922AA"/>
    <w:rsid w:val="5F6C69E9"/>
    <w:rsid w:val="5F763F47"/>
    <w:rsid w:val="5FA8728F"/>
    <w:rsid w:val="5FB32A6C"/>
    <w:rsid w:val="5FC92290"/>
    <w:rsid w:val="5FFD5414"/>
    <w:rsid w:val="601822BB"/>
    <w:rsid w:val="60196466"/>
    <w:rsid w:val="60327E35"/>
    <w:rsid w:val="60366379"/>
    <w:rsid w:val="60725CF8"/>
    <w:rsid w:val="607B5C80"/>
    <w:rsid w:val="60CF4CC7"/>
    <w:rsid w:val="60E11F1C"/>
    <w:rsid w:val="60F670B5"/>
    <w:rsid w:val="61094E54"/>
    <w:rsid w:val="615E35D8"/>
    <w:rsid w:val="61693D2A"/>
    <w:rsid w:val="616D065A"/>
    <w:rsid w:val="618B25CD"/>
    <w:rsid w:val="6192242B"/>
    <w:rsid w:val="619B1D84"/>
    <w:rsid w:val="61D74E23"/>
    <w:rsid w:val="61D94AD3"/>
    <w:rsid w:val="61DB4C28"/>
    <w:rsid w:val="61E43AB3"/>
    <w:rsid w:val="62AE5E99"/>
    <w:rsid w:val="62CB4E25"/>
    <w:rsid w:val="62DD1406"/>
    <w:rsid w:val="63310878"/>
    <w:rsid w:val="634C0CCC"/>
    <w:rsid w:val="637013A0"/>
    <w:rsid w:val="63854F99"/>
    <w:rsid w:val="638C7AAB"/>
    <w:rsid w:val="63A1155A"/>
    <w:rsid w:val="63B3128D"/>
    <w:rsid w:val="63DD347B"/>
    <w:rsid w:val="63F960A5"/>
    <w:rsid w:val="63F97755"/>
    <w:rsid w:val="6408782B"/>
    <w:rsid w:val="64091BD4"/>
    <w:rsid w:val="641E704E"/>
    <w:rsid w:val="64283A29"/>
    <w:rsid w:val="643A1509"/>
    <w:rsid w:val="6464757D"/>
    <w:rsid w:val="64A02069"/>
    <w:rsid w:val="64C645F7"/>
    <w:rsid w:val="64C71494"/>
    <w:rsid w:val="64F34037"/>
    <w:rsid w:val="653813F0"/>
    <w:rsid w:val="654124F2"/>
    <w:rsid w:val="655C0752"/>
    <w:rsid w:val="656B7B0C"/>
    <w:rsid w:val="65723B27"/>
    <w:rsid w:val="6582360D"/>
    <w:rsid w:val="65935B1B"/>
    <w:rsid w:val="66130E3C"/>
    <w:rsid w:val="66840980"/>
    <w:rsid w:val="668E356E"/>
    <w:rsid w:val="66D65CF2"/>
    <w:rsid w:val="6716400D"/>
    <w:rsid w:val="67446793"/>
    <w:rsid w:val="67820525"/>
    <w:rsid w:val="67C45401"/>
    <w:rsid w:val="684F6832"/>
    <w:rsid w:val="686339E7"/>
    <w:rsid w:val="68653002"/>
    <w:rsid w:val="686F7679"/>
    <w:rsid w:val="687A7749"/>
    <w:rsid w:val="68AB69D7"/>
    <w:rsid w:val="6910212C"/>
    <w:rsid w:val="691A5C54"/>
    <w:rsid w:val="694112BF"/>
    <w:rsid w:val="69561EC9"/>
    <w:rsid w:val="6963044E"/>
    <w:rsid w:val="696A4AE4"/>
    <w:rsid w:val="696C5DD8"/>
    <w:rsid w:val="696E6F3A"/>
    <w:rsid w:val="69E843B4"/>
    <w:rsid w:val="6A132AC0"/>
    <w:rsid w:val="6A177EFD"/>
    <w:rsid w:val="6A1F46DD"/>
    <w:rsid w:val="6A234CFD"/>
    <w:rsid w:val="6A272A64"/>
    <w:rsid w:val="6AC344AB"/>
    <w:rsid w:val="6ACA12F5"/>
    <w:rsid w:val="6B51636A"/>
    <w:rsid w:val="6B86798A"/>
    <w:rsid w:val="6B9D6EDB"/>
    <w:rsid w:val="6BAC1DBE"/>
    <w:rsid w:val="6BD126F2"/>
    <w:rsid w:val="6C291A77"/>
    <w:rsid w:val="6C4E3DEA"/>
    <w:rsid w:val="6C735A5D"/>
    <w:rsid w:val="6C785E7E"/>
    <w:rsid w:val="6C7A7B77"/>
    <w:rsid w:val="6CAF2ADD"/>
    <w:rsid w:val="6CAF3814"/>
    <w:rsid w:val="6CB165AA"/>
    <w:rsid w:val="6CF8208F"/>
    <w:rsid w:val="6D2A741C"/>
    <w:rsid w:val="6D5D3234"/>
    <w:rsid w:val="6D945524"/>
    <w:rsid w:val="6DA92D22"/>
    <w:rsid w:val="6DCD221B"/>
    <w:rsid w:val="6DEB3424"/>
    <w:rsid w:val="6E3C25B5"/>
    <w:rsid w:val="6E5320F8"/>
    <w:rsid w:val="6E68124A"/>
    <w:rsid w:val="6E923DA1"/>
    <w:rsid w:val="6E9534FF"/>
    <w:rsid w:val="6EC151A6"/>
    <w:rsid w:val="6EDF73DA"/>
    <w:rsid w:val="6EFA4214"/>
    <w:rsid w:val="6F0B4673"/>
    <w:rsid w:val="6F5F1577"/>
    <w:rsid w:val="6F6873CF"/>
    <w:rsid w:val="6F9E1043"/>
    <w:rsid w:val="6FF96DB4"/>
    <w:rsid w:val="703758EF"/>
    <w:rsid w:val="710D1C31"/>
    <w:rsid w:val="712D08C4"/>
    <w:rsid w:val="71493231"/>
    <w:rsid w:val="715A30B0"/>
    <w:rsid w:val="715E75CD"/>
    <w:rsid w:val="71632544"/>
    <w:rsid w:val="71793B16"/>
    <w:rsid w:val="718E18E0"/>
    <w:rsid w:val="71E219DE"/>
    <w:rsid w:val="71F56B82"/>
    <w:rsid w:val="71F81B46"/>
    <w:rsid w:val="72071226"/>
    <w:rsid w:val="721063A0"/>
    <w:rsid w:val="721C7E07"/>
    <w:rsid w:val="721F1A15"/>
    <w:rsid w:val="72253C9E"/>
    <w:rsid w:val="7255772F"/>
    <w:rsid w:val="7258372B"/>
    <w:rsid w:val="72B00D00"/>
    <w:rsid w:val="72D34F5B"/>
    <w:rsid w:val="72F95CBB"/>
    <w:rsid w:val="73013DC3"/>
    <w:rsid w:val="731D24BD"/>
    <w:rsid w:val="731D4975"/>
    <w:rsid w:val="73321489"/>
    <w:rsid w:val="73426977"/>
    <w:rsid w:val="73741A29"/>
    <w:rsid w:val="73754BAB"/>
    <w:rsid w:val="73D47729"/>
    <w:rsid w:val="73E80C69"/>
    <w:rsid w:val="740B7C18"/>
    <w:rsid w:val="741E7144"/>
    <w:rsid w:val="74304AD7"/>
    <w:rsid w:val="744C6692"/>
    <w:rsid w:val="74535ABA"/>
    <w:rsid w:val="74543DA0"/>
    <w:rsid w:val="74882B1C"/>
    <w:rsid w:val="74BB1EBF"/>
    <w:rsid w:val="74D514E4"/>
    <w:rsid w:val="75295853"/>
    <w:rsid w:val="754A20AE"/>
    <w:rsid w:val="75AA6FDD"/>
    <w:rsid w:val="75CA0DE4"/>
    <w:rsid w:val="75DB20B7"/>
    <w:rsid w:val="76014CFE"/>
    <w:rsid w:val="7613183A"/>
    <w:rsid w:val="761A6685"/>
    <w:rsid w:val="763C3A1A"/>
    <w:rsid w:val="763D5E69"/>
    <w:rsid w:val="76A809F9"/>
    <w:rsid w:val="76B61E13"/>
    <w:rsid w:val="76EF6628"/>
    <w:rsid w:val="773C1E8D"/>
    <w:rsid w:val="77732DB5"/>
    <w:rsid w:val="77CE32A3"/>
    <w:rsid w:val="77CE4490"/>
    <w:rsid w:val="7820118F"/>
    <w:rsid w:val="78A328E7"/>
    <w:rsid w:val="78E35D19"/>
    <w:rsid w:val="78E9026F"/>
    <w:rsid w:val="78F16688"/>
    <w:rsid w:val="79137738"/>
    <w:rsid w:val="792C74A1"/>
    <w:rsid w:val="793920D6"/>
    <w:rsid w:val="793A5C9E"/>
    <w:rsid w:val="79451EA6"/>
    <w:rsid w:val="79A3617B"/>
    <w:rsid w:val="79B9602B"/>
    <w:rsid w:val="79E16C68"/>
    <w:rsid w:val="79FE03E4"/>
    <w:rsid w:val="7A080DD6"/>
    <w:rsid w:val="7A236D15"/>
    <w:rsid w:val="7A734743"/>
    <w:rsid w:val="7A875BB9"/>
    <w:rsid w:val="7AAC1740"/>
    <w:rsid w:val="7ADD3CE5"/>
    <w:rsid w:val="7AF42E5B"/>
    <w:rsid w:val="7AF75AAB"/>
    <w:rsid w:val="7B1D6E8F"/>
    <w:rsid w:val="7B655B2E"/>
    <w:rsid w:val="7B7A79A1"/>
    <w:rsid w:val="7B9B0D65"/>
    <w:rsid w:val="7C0A7A1D"/>
    <w:rsid w:val="7C2072C0"/>
    <w:rsid w:val="7C262AEC"/>
    <w:rsid w:val="7C5148F4"/>
    <w:rsid w:val="7C9167E0"/>
    <w:rsid w:val="7CF97C1B"/>
    <w:rsid w:val="7D5D5FDE"/>
    <w:rsid w:val="7D8345BD"/>
    <w:rsid w:val="7D9401CB"/>
    <w:rsid w:val="7DA52A02"/>
    <w:rsid w:val="7DA75AE9"/>
    <w:rsid w:val="7DB64D3E"/>
    <w:rsid w:val="7DF05877"/>
    <w:rsid w:val="7DF4754F"/>
    <w:rsid w:val="7E2932C0"/>
    <w:rsid w:val="7E8915C5"/>
    <w:rsid w:val="7EC341A5"/>
    <w:rsid w:val="7EE017E7"/>
    <w:rsid w:val="7EF026B4"/>
    <w:rsid w:val="7F013A8E"/>
    <w:rsid w:val="7F432328"/>
    <w:rsid w:val="7F6E758F"/>
    <w:rsid w:val="7FA2248A"/>
    <w:rsid w:val="7FD1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autoRedefine/>
    <w:qFormat/>
    <w:uiPriority w:val="0"/>
    <w:pPr>
      <w:keepNext/>
      <w:keepLines/>
      <w:spacing w:before="340" w:after="330" w:line="578" w:lineRule="auto"/>
      <w:outlineLvl w:val="0"/>
    </w:pPr>
    <w:rPr>
      <w:b/>
      <w:kern w:val="44"/>
      <w:sz w:val="44"/>
    </w:rPr>
  </w:style>
  <w:style w:type="paragraph" w:styleId="3">
    <w:name w:val="heading 2"/>
    <w:basedOn w:val="1"/>
    <w:next w:val="1"/>
    <w:link w:val="50"/>
    <w:autoRedefine/>
    <w:qFormat/>
    <w:uiPriority w:val="0"/>
    <w:pPr>
      <w:keepNext/>
      <w:keepLines/>
      <w:spacing w:before="260" w:after="260" w:line="360" w:lineRule="auto"/>
      <w:outlineLvl w:val="1"/>
    </w:pPr>
    <w:rPr>
      <w:rFonts w:ascii="宋体" w:hAnsi="宋体"/>
      <w:b/>
      <w:color w:val="000000"/>
      <w:sz w:val="30"/>
    </w:rPr>
  </w:style>
  <w:style w:type="paragraph" w:styleId="4">
    <w:name w:val="heading 3"/>
    <w:basedOn w:val="1"/>
    <w:next w:val="1"/>
    <w:link w:val="51"/>
    <w:autoRedefine/>
    <w:qFormat/>
    <w:uiPriority w:val="0"/>
    <w:pPr>
      <w:keepNext/>
      <w:keepLines/>
      <w:autoSpaceDE w:val="0"/>
      <w:autoSpaceDN w:val="0"/>
      <w:adjustRightInd w:val="0"/>
      <w:snapToGrid w:val="0"/>
      <w:spacing w:before="360" w:after="260" w:line="360" w:lineRule="auto"/>
      <w:textAlignment w:val="baseline"/>
      <w:outlineLvl w:val="2"/>
    </w:pPr>
    <w:rPr>
      <w:rFonts w:ascii="宋体" w:hAnsi="宋体"/>
      <w:b/>
      <w:sz w:val="28"/>
    </w:rPr>
  </w:style>
  <w:style w:type="paragraph" w:styleId="5">
    <w:name w:val="heading 4"/>
    <w:basedOn w:val="1"/>
    <w:next w:val="1"/>
    <w:link w:val="52"/>
    <w:qFormat/>
    <w:uiPriority w:val="0"/>
    <w:pPr>
      <w:keepNext/>
      <w:keepLines/>
      <w:spacing w:before="280" w:after="290" w:line="376" w:lineRule="auto"/>
      <w:outlineLvl w:val="3"/>
    </w:pPr>
    <w:rPr>
      <w:rFonts w:ascii="宋体" w:hAnsi="宋体"/>
      <w:b/>
      <w:sz w:val="28"/>
    </w:rPr>
  </w:style>
  <w:style w:type="paragraph" w:styleId="6">
    <w:name w:val="heading 5"/>
    <w:basedOn w:val="1"/>
    <w:next w:val="7"/>
    <w:link w:val="53"/>
    <w:qFormat/>
    <w:uiPriority w:val="0"/>
    <w:pPr>
      <w:spacing w:before="60" w:after="60" w:line="360" w:lineRule="auto"/>
      <w:outlineLvl w:val="4"/>
    </w:pPr>
    <w:rPr>
      <w:b/>
      <w:bCs/>
      <w:sz w:val="28"/>
      <w:szCs w:val="28"/>
    </w:rPr>
  </w:style>
  <w:style w:type="paragraph" w:styleId="8">
    <w:name w:val="heading 6"/>
    <w:basedOn w:val="1"/>
    <w:next w:val="7"/>
    <w:link w:val="54"/>
    <w:autoRedefine/>
    <w:qFormat/>
    <w:uiPriority w:val="0"/>
    <w:pPr>
      <w:spacing w:before="60" w:after="60" w:line="360" w:lineRule="auto"/>
      <w:outlineLvl w:val="5"/>
    </w:pPr>
    <w:rPr>
      <w:b/>
      <w:bCs/>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72"/>
    <w:autoRedefine/>
    <w:qFormat/>
    <w:uiPriority w:val="0"/>
    <w:pPr>
      <w:spacing w:line="360" w:lineRule="auto"/>
    </w:pPr>
    <w:rPr>
      <w:rFonts w:ascii="黑体"/>
      <w:sz w:val="24"/>
    </w:rPr>
  </w:style>
  <w:style w:type="paragraph" w:styleId="9">
    <w:name w:val="toc 7"/>
    <w:basedOn w:val="1"/>
    <w:next w:val="1"/>
    <w:autoRedefine/>
    <w:semiHidden/>
    <w:qFormat/>
    <w:uiPriority w:val="0"/>
    <w:pPr>
      <w:ind w:left="1260"/>
      <w:jc w:val="left"/>
    </w:pPr>
    <w:rPr>
      <w:szCs w:val="21"/>
    </w:rPr>
  </w:style>
  <w:style w:type="paragraph" w:styleId="10">
    <w:name w:val="Normal Indent"/>
    <w:basedOn w:val="1"/>
    <w:qFormat/>
    <w:uiPriority w:val="0"/>
    <w:pPr>
      <w:widowControl/>
      <w:ind w:firstLine="420"/>
      <w:jc w:val="left"/>
    </w:pPr>
    <w:rPr>
      <w:kern w:val="0"/>
    </w:rPr>
  </w:style>
  <w:style w:type="paragraph" w:styleId="11">
    <w:name w:val="List Bullet"/>
    <w:basedOn w:val="1"/>
    <w:autoRedefine/>
    <w:qFormat/>
    <w:uiPriority w:val="0"/>
    <w:pPr>
      <w:tabs>
        <w:tab w:val="left" w:pos="360"/>
      </w:tabs>
      <w:autoSpaceDE w:val="0"/>
      <w:autoSpaceDN w:val="0"/>
      <w:adjustRightInd w:val="0"/>
      <w:snapToGrid w:val="0"/>
      <w:spacing w:line="360" w:lineRule="auto"/>
      <w:ind w:left="360" w:hanging="360"/>
      <w:textAlignment w:val="baseline"/>
    </w:pPr>
    <w:rPr>
      <w:rFonts w:ascii="宋体" w:hAnsi="Tms Rmn"/>
      <w:snapToGrid w:val="0"/>
      <w:color w:val="000000"/>
      <w:kern w:val="24"/>
      <w:sz w:val="28"/>
    </w:rPr>
  </w:style>
  <w:style w:type="paragraph" w:styleId="12">
    <w:name w:val="Document Map"/>
    <w:basedOn w:val="1"/>
    <w:link w:val="71"/>
    <w:semiHidden/>
    <w:qFormat/>
    <w:uiPriority w:val="0"/>
    <w:pPr>
      <w:shd w:val="clear" w:color="auto" w:fill="000080"/>
    </w:pPr>
  </w:style>
  <w:style w:type="paragraph" w:styleId="13">
    <w:name w:val="annotation text"/>
    <w:basedOn w:val="1"/>
    <w:link w:val="91"/>
    <w:semiHidden/>
    <w:qFormat/>
    <w:uiPriority w:val="0"/>
    <w:pPr>
      <w:jc w:val="left"/>
    </w:pPr>
    <w:rPr>
      <w:rFonts w:asciiTheme="minorHAnsi" w:hAnsiTheme="minorHAnsi" w:cstheme="minorBidi"/>
      <w:szCs w:val="24"/>
    </w:rPr>
  </w:style>
  <w:style w:type="paragraph" w:styleId="14">
    <w:name w:val="Body Text 3"/>
    <w:basedOn w:val="1"/>
    <w:link w:val="101"/>
    <w:autoRedefine/>
    <w:qFormat/>
    <w:uiPriority w:val="0"/>
    <w:pPr>
      <w:spacing w:line="360" w:lineRule="auto"/>
    </w:pPr>
    <w:rPr>
      <w:rFonts w:ascii="宋体" w:hAnsi="宋体"/>
      <w:b/>
      <w:bCs/>
    </w:rPr>
  </w:style>
  <w:style w:type="paragraph" w:styleId="15">
    <w:name w:val="Body Text Indent"/>
    <w:basedOn w:val="1"/>
    <w:link w:val="103"/>
    <w:autoRedefine/>
    <w:qFormat/>
    <w:uiPriority w:val="0"/>
    <w:pPr>
      <w:spacing w:line="360" w:lineRule="auto"/>
      <w:ind w:left="480"/>
    </w:pPr>
    <w:rPr>
      <w:rFonts w:ascii="宋体"/>
      <w:sz w:val="24"/>
    </w:rPr>
  </w:style>
  <w:style w:type="paragraph" w:styleId="16">
    <w:name w:val="toc 5"/>
    <w:basedOn w:val="1"/>
    <w:next w:val="1"/>
    <w:autoRedefine/>
    <w:semiHidden/>
    <w:qFormat/>
    <w:uiPriority w:val="0"/>
    <w:pPr>
      <w:ind w:left="840"/>
      <w:jc w:val="left"/>
    </w:pPr>
    <w:rPr>
      <w:szCs w:val="21"/>
    </w:rPr>
  </w:style>
  <w:style w:type="paragraph" w:styleId="17">
    <w:name w:val="toc 3"/>
    <w:basedOn w:val="1"/>
    <w:next w:val="1"/>
    <w:autoRedefine/>
    <w:semiHidden/>
    <w:qFormat/>
    <w:uiPriority w:val="0"/>
    <w:pPr>
      <w:ind w:left="420"/>
      <w:jc w:val="left"/>
    </w:pPr>
    <w:rPr>
      <w:i/>
      <w:iCs/>
      <w:szCs w:val="24"/>
    </w:rPr>
  </w:style>
  <w:style w:type="paragraph" w:styleId="18">
    <w:name w:val="Plain Text"/>
    <w:basedOn w:val="1"/>
    <w:link w:val="77"/>
    <w:autoRedefine/>
    <w:qFormat/>
    <w:uiPriority w:val="0"/>
    <w:rPr>
      <w:rFonts w:ascii="宋体" w:hAnsi="Courier New" w:cstheme="minorBidi"/>
      <w:szCs w:val="22"/>
    </w:rPr>
  </w:style>
  <w:style w:type="paragraph" w:styleId="19">
    <w:name w:val="toc 8"/>
    <w:basedOn w:val="1"/>
    <w:next w:val="1"/>
    <w:semiHidden/>
    <w:qFormat/>
    <w:uiPriority w:val="0"/>
    <w:pPr>
      <w:ind w:left="1470"/>
      <w:jc w:val="left"/>
    </w:pPr>
    <w:rPr>
      <w:szCs w:val="21"/>
    </w:rPr>
  </w:style>
  <w:style w:type="paragraph" w:styleId="20">
    <w:name w:val="Date"/>
    <w:basedOn w:val="1"/>
    <w:next w:val="1"/>
    <w:link w:val="70"/>
    <w:qFormat/>
    <w:uiPriority w:val="0"/>
    <w:rPr>
      <w:sz w:val="24"/>
    </w:rPr>
  </w:style>
  <w:style w:type="paragraph" w:styleId="21">
    <w:name w:val="Body Text Indent 2"/>
    <w:basedOn w:val="1"/>
    <w:link w:val="98"/>
    <w:autoRedefine/>
    <w:qFormat/>
    <w:uiPriority w:val="0"/>
    <w:pPr>
      <w:autoSpaceDE w:val="0"/>
      <w:autoSpaceDN w:val="0"/>
      <w:adjustRightInd w:val="0"/>
      <w:spacing w:line="360" w:lineRule="auto"/>
      <w:ind w:firstLine="538"/>
      <w:jc w:val="left"/>
    </w:pPr>
    <w:rPr>
      <w:rFonts w:ascii="仿宋_GB2312" w:eastAsia="仿宋_GB2312"/>
      <w:color w:val="000000"/>
      <w:kern w:val="0"/>
      <w:sz w:val="28"/>
    </w:rPr>
  </w:style>
  <w:style w:type="paragraph" w:styleId="22">
    <w:name w:val="Balloon Text"/>
    <w:basedOn w:val="1"/>
    <w:link w:val="89"/>
    <w:autoRedefine/>
    <w:semiHidden/>
    <w:qFormat/>
    <w:uiPriority w:val="0"/>
    <w:rPr>
      <w:sz w:val="18"/>
      <w:szCs w:val="18"/>
    </w:rPr>
  </w:style>
  <w:style w:type="paragraph" w:styleId="23">
    <w:name w:val="footer"/>
    <w:basedOn w:val="1"/>
    <w:next w:val="1"/>
    <w:link w:val="93"/>
    <w:autoRedefine/>
    <w:qFormat/>
    <w:uiPriority w:val="0"/>
    <w:pPr>
      <w:pBdr>
        <w:top w:val="single" w:color="auto" w:sz="4" w:space="1"/>
      </w:pBdr>
      <w:tabs>
        <w:tab w:val="center" w:pos="4153"/>
        <w:tab w:val="right" w:pos="8306"/>
      </w:tabs>
      <w:snapToGrid w:val="0"/>
      <w:spacing w:line="360" w:lineRule="auto"/>
      <w:jc w:val="left"/>
    </w:pPr>
    <w:rPr>
      <w:sz w:val="18"/>
    </w:rPr>
  </w:style>
  <w:style w:type="paragraph" w:styleId="24">
    <w:name w:val="header"/>
    <w:basedOn w:val="1"/>
    <w:link w:val="76"/>
    <w:autoRedefine/>
    <w:qFormat/>
    <w:uiPriority w:val="0"/>
    <w:pPr>
      <w:pBdr>
        <w:bottom w:val="thinThickSmallGap" w:color="auto" w:sz="12" w:space="1"/>
      </w:pBdr>
      <w:tabs>
        <w:tab w:val="center" w:pos="4153"/>
        <w:tab w:val="right" w:pos="8306"/>
      </w:tabs>
      <w:snapToGrid w:val="0"/>
      <w:spacing w:line="360" w:lineRule="auto"/>
      <w:jc w:val="center"/>
    </w:pPr>
    <w:rPr>
      <w:rFonts w:hint="eastAsia" w:ascii="宋体" w:hAnsi="宋体" w:cs="宋体"/>
      <w:sz w:val="18"/>
      <w:szCs w:val="18"/>
    </w:rPr>
  </w:style>
  <w:style w:type="paragraph" w:styleId="25">
    <w:name w:val="toc 1"/>
    <w:basedOn w:val="1"/>
    <w:next w:val="1"/>
    <w:autoRedefine/>
    <w:qFormat/>
    <w:uiPriority w:val="39"/>
    <w:pPr>
      <w:tabs>
        <w:tab w:val="right" w:leader="dot" w:pos="9344"/>
      </w:tabs>
      <w:spacing w:before="120" w:after="120"/>
      <w:jc w:val="left"/>
    </w:pPr>
    <w:rPr>
      <w:rFonts w:ascii="宋体" w:hAnsi="宋体"/>
      <w:b/>
      <w:bCs/>
      <w:caps/>
      <w:sz w:val="24"/>
      <w:szCs w:val="24"/>
    </w:rPr>
  </w:style>
  <w:style w:type="paragraph" w:styleId="26">
    <w:name w:val="toc 4"/>
    <w:basedOn w:val="1"/>
    <w:next w:val="1"/>
    <w:autoRedefine/>
    <w:semiHidden/>
    <w:qFormat/>
    <w:uiPriority w:val="0"/>
    <w:pPr>
      <w:ind w:left="630"/>
      <w:jc w:val="left"/>
    </w:pPr>
    <w:rPr>
      <w:szCs w:val="21"/>
    </w:rPr>
  </w:style>
  <w:style w:type="paragraph" w:styleId="27">
    <w:name w:val="toc 6"/>
    <w:basedOn w:val="1"/>
    <w:next w:val="1"/>
    <w:autoRedefine/>
    <w:semiHidden/>
    <w:qFormat/>
    <w:uiPriority w:val="0"/>
    <w:pPr>
      <w:ind w:left="1050"/>
      <w:jc w:val="left"/>
    </w:pPr>
    <w:rPr>
      <w:szCs w:val="21"/>
    </w:rPr>
  </w:style>
  <w:style w:type="paragraph" w:styleId="28">
    <w:name w:val="Body Text Indent 3"/>
    <w:basedOn w:val="1"/>
    <w:link w:val="73"/>
    <w:qFormat/>
    <w:uiPriority w:val="0"/>
    <w:pPr>
      <w:spacing w:line="360" w:lineRule="auto"/>
      <w:ind w:firstLine="480"/>
    </w:pPr>
    <w:rPr>
      <w:sz w:val="24"/>
    </w:rPr>
  </w:style>
  <w:style w:type="paragraph" w:styleId="29">
    <w:name w:val="toc 2"/>
    <w:basedOn w:val="1"/>
    <w:next w:val="1"/>
    <w:autoRedefine/>
    <w:qFormat/>
    <w:uiPriority w:val="39"/>
    <w:pPr>
      <w:ind w:left="210"/>
      <w:jc w:val="left"/>
    </w:pPr>
    <w:rPr>
      <w:smallCaps/>
      <w:szCs w:val="24"/>
    </w:rPr>
  </w:style>
  <w:style w:type="paragraph" w:styleId="30">
    <w:name w:val="toc 9"/>
    <w:basedOn w:val="1"/>
    <w:next w:val="1"/>
    <w:autoRedefine/>
    <w:semiHidden/>
    <w:qFormat/>
    <w:uiPriority w:val="0"/>
    <w:pPr>
      <w:ind w:left="1680"/>
      <w:jc w:val="left"/>
    </w:pPr>
    <w:rPr>
      <w:szCs w:val="21"/>
    </w:rPr>
  </w:style>
  <w:style w:type="paragraph" w:styleId="31">
    <w:name w:val="Body Text 2"/>
    <w:basedOn w:val="1"/>
    <w:link w:val="68"/>
    <w:qFormat/>
    <w:uiPriority w:val="0"/>
    <w:rPr>
      <w:rFonts w:eastAsia="楷体_GB2312"/>
      <w:sz w:val="28"/>
    </w:rPr>
  </w:style>
  <w:style w:type="paragraph" w:styleId="32">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3">
    <w:name w:val="Normal (Web)"/>
    <w:basedOn w:val="1"/>
    <w:autoRedefine/>
    <w:qFormat/>
    <w:uiPriority w:val="99"/>
    <w:rPr>
      <w:sz w:val="24"/>
      <w:szCs w:val="24"/>
    </w:rPr>
  </w:style>
  <w:style w:type="paragraph" w:styleId="34">
    <w:name w:val="index 1"/>
    <w:basedOn w:val="1"/>
    <w:next w:val="1"/>
    <w:autoRedefine/>
    <w:semiHidden/>
    <w:qFormat/>
    <w:uiPriority w:val="0"/>
    <w:rPr>
      <w:rFonts w:ascii="宋体" w:hAnsi="宋体"/>
      <w:sz w:val="24"/>
      <w:szCs w:val="24"/>
    </w:rPr>
  </w:style>
  <w:style w:type="paragraph" w:styleId="35">
    <w:name w:val="annotation subject"/>
    <w:basedOn w:val="13"/>
    <w:next w:val="13"/>
    <w:link w:val="95"/>
    <w:semiHidden/>
    <w:qFormat/>
    <w:uiPriority w:val="0"/>
    <w:rPr>
      <w:b/>
      <w:bCs/>
      <w:szCs w:val="20"/>
    </w:rPr>
  </w:style>
  <w:style w:type="table" w:styleId="37">
    <w:name w:val="Table Grid"/>
    <w:basedOn w:val="36"/>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rPr>
      <w:rFonts w:eastAsia="宋体"/>
      <w:sz w:val="18"/>
    </w:rPr>
  </w:style>
  <w:style w:type="character" w:styleId="40">
    <w:name w:val="FollowedHyperlink"/>
    <w:qFormat/>
    <w:uiPriority w:val="0"/>
    <w:rPr>
      <w:color w:val="800080"/>
      <w:u w:val="single"/>
    </w:rPr>
  </w:style>
  <w:style w:type="character" w:styleId="41">
    <w:name w:val="Hyperlink"/>
    <w:qFormat/>
    <w:uiPriority w:val="99"/>
    <w:rPr>
      <w:color w:val="0000FF"/>
      <w:u w:val="single"/>
    </w:rPr>
  </w:style>
  <w:style w:type="character" w:styleId="42">
    <w:name w:val="annotation reference"/>
    <w:semiHidden/>
    <w:qFormat/>
    <w:uiPriority w:val="0"/>
    <w:rPr>
      <w:sz w:val="21"/>
      <w:szCs w:val="21"/>
    </w:rPr>
  </w:style>
  <w:style w:type="paragraph" w:customStyle="1" w:styleId="43">
    <w:name w:val="Normal Indent1"/>
    <w:basedOn w:val="1"/>
    <w:qFormat/>
    <w:uiPriority w:val="0"/>
    <w:pPr>
      <w:ind w:firstLine="420"/>
    </w:pPr>
  </w:style>
  <w:style w:type="paragraph" w:customStyle="1" w:styleId="44">
    <w:name w:val="正文缩进1"/>
    <w:basedOn w:val="45"/>
    <w:next w:val="1"/>
    <w:qFormat/>
    <w:uiPriority w:val="0"/>
    <w:pPr>
      <w:ind w:firstLine="420"/>
    </w:pPr>
  </w:style>
  <w:style w:type="paragraph" w:customStyle="1" w:styleId="45">
    <w:name w:val="正文 New"/>
    <w:next w:val="46"/>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4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样式 行距: 1.5 倍行距 首行缩进:  2 字符"/>
    <w:basedOn w:val="1"/>
    <w:qFormat/>
    <w:uiPriority w:val="0"/>
    <w:pPr>
      <w:adjustRightInd w:val="0"/>
      <w:snapToGrid w:val="0"/>
      <w:spacing w:line="460" w:lineRule="exact"/>
    </w:pPr>
    <w:rPr>
      <w:sz w:val="24"/>
    </w:rPr>
  </w:style>
  <w:style w:type="paragraph" w:customStyle="1" w:styleId="48">
    <w:name w:val="样式 宋体 行距: 1.5 倍行距"/>
    <w:basedOn w:val="1"/>
    <w:next w:val="1"/>
    <w:qFormat/>
    <w:uiPriority w:val="0"/>
    <w:pPr>
      <w:jc w:val="center"/>
    </w:pPr>
    <w:rPr>
      <w:b/>
    </w:rPr>
  </w:style>
  <w:style w:type="character" w:customStyle="1" w:styleId="49">
    <w:name w:val="标题 1 字符"/>
    <w:basedOn w:val="38"/>
    <w:link w:val="2"/>
    <w:autoRedefine/>
    <w:qFormat/>
    <w:uiPriority w:val="0"/>
    <w:rPr>
      <w:rFonts w:ascii="Times New Roman" w:hAnsi="Times New Roman" w:eastAsia="宋体" w:cs="Times New Roman"/>
      <w:b/>
      <w:kern w:val="44"/>
      <w:sz w:val="44"/>
      <w:szCs w:val="20"/>
    </w:rPr>
  </w:style>
  <w:style w:type="character" w:customStyle="1" w:styleId="50">
    <w:name w:val="标题 2 字符"/>
    <w:basedOn w:val="38"/>
    <w:link w:val="3"/>
    <w:qFormat/>
    <w:uiPriority w:val="0"/>
    <w:rPr>
      <w:rFonts w:ascii="宋体" w:hAnsi="宋体" w:eastAsia="宋体" w:cs="Times New Roman"/>
      <w:b/>
      <w:color w:val="000000"/>
      <w:sz w:val="30"/>
      <w:szCs w:val="20"/>
    </w:rPr>
  </w:style>
  <w:style w:type="character" w:customStyle="1" w:styleId="51">
    <w:name w:val="标题 3 字符"/>
    <w:basedOn w:val="38"/>
    <w:link w:val="4"/>
    <w:qFormat/>
    <w:uiPriority w:val="0"/>
    <w:rPr>
      <w:rFonts w:ascii="宋体" w:hAnsi="宋体" w:eastAsia="宋体" w:cs="Times New Roman"/>
      <w:b/>
      <w:sz w:val="28"/>
      <w:szCs w:val="20"/>
    </w:rPr>
  </w:style>
  <w:style w:type="character" w:customStyle="1" w:styleId="52">
    <w:name w:val="标题 4 字符"/>
    <w:basedOn w:val="38"/>
    <w:link w:val="5"/>
    <w:autoRedefine/>
    <w:qFormat/>
    <w:uiPriority w:val="0"/>
    <w:rPr>
      <w:rFonts w:ascii="宋体" w:hAnsi="宋体" w:eastAsia="宋体" w:cs="Times New Roman"/>
      <w:b/>
      <w:sz w:val="28"/>
      <w:szCs w:val="20"/>
    </w:rPr>
  </w:style>
  <w:style w:type="character" w:customStyle="1" w:styleId="53">
    <w:name w:val="标题 5 字符"/>
    <w:basedOn w:val="38"/>
    <w:link w:val="6"/>
    <w:qFormat/>
    <w:uiPriority w:val="0"/>
    <w:rPr>
      <w:rFonts w:ascii="Times New Roman" w:hAnsi="Times New Roman" w:eastAsia="宋体" w:cs="Times New Roman"/>
      <w:b/>
      <w:bCs/>
      <w:sz w:val="28"/>
      <w:szCs w:val="28"/>
    </w:rPr>
  </w:style>
  <w:style w:type="character" w:customStyle="1" w:styleId="54">
    <w:name w:val="标题 6 字符"/>
    <w:basedOn w:val="38"/>
    <w:link w:val="8"/>
    <w:autoRedefine/>
    <w:qFormat/>
    <w:uiPriority w:val="0"/>
    <w:rPr>
      <w:rFonts w:ascii="Times New Roman" w:hAnsi="Times New Roman" w:eastAsia="宋体" w:cs="Times New Roman"/>
      <w:b/>
      <w:bCs/>
      <w:sz w:val="24"/>
      <w:szCs w:val="24"/>
    </w:rPr>
  </w:style>
  <w:style w:type="character" w:customStyle="1" w:styleId="55">
    <w:name w:val="unnamed21"/>
    <w:autoRedefine/>
    <w:qFormat/>
    <w:uiPriority w:val="0"/>
    <w:rPr>
      <w:b/>
      <w:bCs/>
      <w:color w:val="FF6600"/>
      <w:sz w:val="26"/>
      <w:szCs w:val="26"/>
      <w:u w:val="none"/>
    </w:rPr>
  </w:style>
  <w:style w:type="character" w:customStyle="1" w:styleId="56">
    <w:name w:val="p141"/>
    <w:basedOn w:val="38"/>
    <w:qFormat/>
    <w:uiPriority w:val="0"/>
    <w:rPr>
      <w:sz w:val="21"/>
      <w:szCs w:val="21"/>
    </w:rPr>
  </w:style>
  <w:style w:type="character" w:customStyle="1" w:styleId="57">
    <w:name w:val="纯文本 Char"/>
    <w:autoRedefine/>
    <w:qFormat/>
    <w:uiPriority w:val="0"/>
    <w:rPr>
      <w:rFonts w:ascii="宋体" w:hAnsi="Courier New" w:eastAsia="宋体"/>
    </w:rPr>
  </w:style>
  <w:style w:type="character" w:customStyle="1" w:styleId="58">
    <w:name w:val="Char Char6"/>
    <w:autoRedefine/>
    <w:qFormat/>
    <w:uiPriority w:val="0"/>
    <w:rPr>
      <w:rFonts w:ascii="宋体" w:hAnsi="Courier New" w:eastAsia="宋体"/>
      <w:kern w:val="2"/>
      <w:sz w:val="24"/>
      <w:lang w:val="en-US" w:eastAsia="zh-CN" w:bidi="ar-SA"/>
    </w:rPr>
  </w:style>
  <w:style w:type="character" w:customStyle="1" w:styleId="59">
    <w:name w:val="正文缩进 Char"/>
    <w:autoRedefine/>
    <w:qFormat/>
    <w:uiPriority w:val="0"/>
    <w:rPr>
      <w:rFonts w:eastAsia="宋体"/>
      <w:sz w:val="24"/>
    </w:rPr>
  </w:style>
  <w:style w:type="character" w:customStyle="1" w:styleId="60">
    <w:name w:val="批注文字 Char"/>
    <w:autoRedefine/>
    <w:qFormat/>
    <w:uiPriority w:val="0"/>
    <w:rPr>
      <w:rFonts w:eastAsia="宋体"/>
      <w:szCs w:val="24"/>
    </w:rPr>
  </w:style>
  <w:style w:type="character" w:customStyle="1" w:styleId="61">
    <w:name w:val="banner11"/>
    <w:autoRedefine/>
    <w:qFormat/>
    <w:uiPriority w:val="0"/>
    <w:rPr>
      <w:color w:val="000099"/>
      <w:sz w:val="32"/>
      <w:szCs w:val="32"/>
    </w:rPr>
  </w:style>
  <w:style w:type="character" w:customStyle="1" w:styleId="62">
    <w:name w:val="页眉 Char"/>
    <w:autoRedefine/>
    <w:qFormat/>
    <w:uiPriority w:val="0"/>
    <w:rPr>
      <w:rFonts w:ascii="宋体" w:hAnsi="宋体" w:eastAsia="宋体" w:cs="宋体"/>
      <w:sz w:val="18"/>
      <w:szCs w:val="18"/>
    </w:rPr>
  </w:style>
  <w:style w:type="character" w:customStyle="1" w:styleId="63">
    <w:name w:val="text1"/>
    <w:qFormat/>
    <w:uiPriority w:val="0"/>
    <w:rPr>
      <w:sz w:val="21"/>
      <w:szCs w:val="21"/>
      <w:u w:val="none"/>
    </w:rPr>
  </w:style>
  <w:style w:type="character" w:customStyle="1" w:styleId="64">
    <w:name w:val="页脚2 Char"/>
    <w:link w:val="65"/>
    <w:qFormat/>
    <w:uiPriority w:val="0"/>
    <w:rPr>
      <w:rFonts w:ascii="宋体" w:hAnsi="宋体" w:eastAsia="宋体"/>
      <w:sz w:val="18"/>
      <w:szCs w:val="18"/>
    </w:rPr>
  </w:style>
  <w:style w:type="paragraph" w:customStyle="1" w:styleId="65">
    <w:name w:val="页脚2"/>
    <w:basedOn w:val="1"/>
    <w:link w:val="64"/>
    <w:qFormat/>
    <w:uiPriority w:val="0"/>
    <w:pPr>
      <w:widowControl/>
      <w:pBdr>
        <w:top w:val="single" w:color="auto" w:sz="6" w:space="0"/>
      </w:pBdr>
      <w:jc w:val="right"/>
      <w:textAlignment w:val="center"/>
    </w:pPr>
    <w:rPr>
      <w:rFonts w:ascii="宋体" w:hAnsi="宋体" w:cstheme="minorBidi"/>
      <w:sz w:val="18"/>
      <w:szCs w:val="18"/>
    </w:rPr>
  </w:style>
  <w:style w:type="paragraph" w:customStyle="1" w:styleId="66">
    <w:name w:val="text"/>
    <w:basedOn w:val="1"/>
    <w:qFormat/>
    <w:uiPriority w:val="0"/>
    <w:pPr>
      <w:widowControl/>
      <w:spacing w:before="100" w:beforeAutospacing="1" w:after="100" w:afterAutospacing="1" w:line="347" w:lineRule="atLeast"/>
      <w:jc w:val="left"/>
    </w:pPr>
    <w:rPr>
      <w:rFonts w:ascii="Arial Unicode MS" w:hAnsi="Arial Unicode MS" w:eastAsia="Arial Unicode MS" w:cs="Arial Unicode MS"/>
      <w:color w:val="000000"/>
      <w:kern w:val="0"/>
      <w:szCs w:val="21"/>
    </w:rPr>
  </w:style>
  <w:style w:type="paragraph" w:customStyle="1" w:styleId="67">
    <w:name w:val="D文1"/>
    <w:basedOn w:val="1"/>
    <w:autoRedefine/>
    <w:qFormat/>
    <w:uiPriority w:val="0"/>
    <w:pPr>
      <w:tabs>
        <w:tab w:val="left" w:pos="720"/>
      </w:tabs>
      <w:autoSpaceDE w:val="0"/>
      <w:autoSpaceDN w:val="0"/>
      <w:adjustRightInd w:val="0"/>
      <w:spacing w:after="120" w:line="480" w:lineRule="atLeast"/>
      <w:ind w:left="680" w:firstLine="510"/>
    </w:pPr>
    <w:rPr>
      <w:rFonts w:ascii="宋体"/>
      <w:kern w:val="0"/>
      <w:sz w:val="24"/>
    </w:rPr>
  </w:style>
  <w:style w:type="character" w:customStyle="1" w:styleId="68">
    <w:name w:val="正文文本 2 字符"/>
    <w:basedOn w:val="38"/>
    <w:link w:val="31"/>
    <w:autoRedefine/>
    <w:qFormat/>
    <w:uiPriority w:val="0"/>
    <w:rPr>
      <w:rFonts w:ascii="Times New Roman" w:hAnsi="Times New Roman" w:eastAsia="楷体_GB2312" w:cs="Times New Roman"/>
      <w:sz w:val="28"/>
      <w:szCs w:val="20"/>
    </w:rPr>
  </w:style>
  <w:style w:type="paragraph" w:customStyle="1" w:styleId="69">
    <w:name w:val="xl22"/>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character" w:customStyle="1" w:styleId="70">
    <w:name w:val="日期 字符"/>
    <w:basedOn w:val="38"/>
    <w:link w:val="20"/>
    <w:autoRedefine/>
    <w:qFormat/>
    <w:uiPriority w:val="0"/>
    <w:rPr>
      <w:rFonts w:ascii="Times New Roman" w:hAnsi="Times New Roman" w:eastAsia="宋体" w:cs="Times New Roman"/>
      <w:sz w:val="24"/>
      <w:szCs w:val="20"/>
    </w:rPr>
  </w:style>
  <w:style w:type="character" w:customStyle="1" w:styleId="71">
    <w:name w:val="文档结构图 字符"/>
    <w:basedOn w:val="38"/>
    <w:link w:val="12"/>
    <w:semiHidden/>
    <w:qFormat/>
    <w:uiPriority w:val="0"/>
    <w:rPr>
      <w:rFonts w:ascii="Times New Roman" w:hAnsi="Times New Roman" w:eastAsia="宋体" w:cs="Times New Roman"/>
      <w:szCs w:val="20"/>
      <w:shd w:val="clear" w:color="auto" w:fill="000080"/>
    </w:rPr>
  </w:style>
  <w:style w:type="character" w:customStyle="1" w:styleId="72">
    <w:name w:val="正文文本 字符"/>
    <w:basedOn w:val="38"/>
    <w:link w:val="7"/>
    <w:qFormat/>
    <w:uiPriority w:val="0"/>
    <w:rPr>
      <w:rFonts w:ascii="黑体" w:hAnsi="Times New Roman" w:eastAsia="宋体" w:cs="Times New Roman"/>
      <w:sz w:val="24"/>
      <w:szCs w:val="20"/>
    </w:rPr>
  </w:style>
  <w:style w:type="character" w:customStyle="1" w:styleId="73">
    <w:name w:val="正文文本缩进 3 字符"/>
    <w:basedOn w:val="38"/>
    <w:link w:val="28"/>
    <w:qFormat/>
    <w:uiPriority w:val="0"/>
    <w:rPr>
      <w:rFonts w:ascii="Times New Roman" w:hAnsi="Times New Roman" w:eastAsia="宋体" w:cs="Times New Roman"/>
      <w:sz w:val="24"/>
      <w:szCs w:val="20"/>
    </w:rPr>
  </w:style>
  <w:style w:type="paragraph" w:customStyle="1" w:styleId="74">
    <w:name w:val="样式 样式 标题 2H2PIM2Heading 2 Hidden2nd levelh22Header 2l2Titr... + ..."/>
    <w:basedOn w:val="1"/>
    <w:autoRedefine/>
    <w:qFormat/>
    <w:uiPriority w:val="0"/>
    <w:pPr>
      <w:keepNext/>
      <w:keepLines/>
      <w:spacing w:beforeLines="50" w:line="360" w:lineRule="auto"/>
      <w:ind w:left="180"/>
      <w:outlineLvl w:val="1"/>
    </w:pPr>
    <w:rPr>
      <w:rFonts w:ascii="宋体" w:hAnsi="宋体"/>
      <w:b/>
      <w:sz w:val="28"/>
    </w:rPr>
  </w:style>
  <w:style w:type="paragraph" w:customStyle="1" w:styleId="75">
    <w:name w:val="Char Char Char1 Char"/>
    <w:basedOn w:val="1"/>
    <w:autoRedefine/>
    <w:qFormat/>
    <w:uiPriority w:val="0"/>
    <w:pPr>
      <w:tabs>
        <w:tab w:val="left" w:pos="425"/>
      </w:tabs>
      <w:ind w:left="425" w:hanging="425"/>
    </w:pPr>
    <w:rPr>
      <w:rFonts w:eastAsia="仿宋_GB2312"/>
      <w:kern w:val="24"/>
      <w:sz w:val="24"/>
      <w:szCs w:val="24"/>
    </w:rPr>
  </w:style>
  <w:style w:type="character" w:customStyle="1" w:styleId="76">
    <w:name w:val="页眉 字符"/>
    <w:basedOn w:val="38"/>
    <w:link w:val="24"/>
    <w:autoRedefine/>
    <w:semiHidden/>
    <w:qFormat/>
    <w:uiPriority w:val="99"/>
    <w:rPr>
      <w:rFonts w:ascii="Times New Roman" w:hAnsi="Times New Roman" w:eastAsia="宋体" w:cs="Times New Roman"/>
      <w:sz w:val="18"/>
      <w:szCs w:val="18"/>
    </w:rPr>
  </w:style>
  <w:style w:type="character" w:customStyle="1" w:styleId="77">
    <w:name w:val="纯文本 字符"/>
    <w:basedOn w:val="38"/>
    <w:link w:val="18"/>
    <w:autoRedefine/>
    <w:semiHidden/>
    <w:qFormat/>
    <w:uiPriority w:val="99"/>
    <w:rPr>
      <w:rFonts w:ascii="宋体" w:hAnsi="Courier New" w:eastAsia="宋体" w:cs="Courier New"/>
      <w:szCs w:val="21"/>
    </w:rPr>
  </w:style>
  <w:style w:type="paragraph" w:customStyle="1" w:styleId="78">
    <w:name w:val="Char Char Char"/>
    <w:basedOn w:val="1"/>
    <w:qFormat/>
    <w:uiPriority w:val="0"/>
    <w:rPr>
      <w:rFonts w:ascii="Tahoma" w:hAnsi="Tahoma"/>
      <w:sz w:val="24"/>
    </w:rPr>
  </w:style>
  <w:style w:type="character" w:customStyle="1" w:styleId="79">
    <w:name w:val="HTML 预设格式 字符"/>
    <w:basedOn w:val="38"/>
    <w:link w:val="32"/>
    <w:autoRedefine/>
    <w:qFormat/>
    <w:uiPriority w:val="0"/>
    <w:rPr>
      <w:rFonts w:ascii="黑体" w:hAnsi="Courier New" w:eastAsia="黑体" w:cs="Courier New"/>
      <w:kern w:val="0"/>
      <w:sz w:val="20"/>
      <w:szCs w:val="20"/>
    </w:rPr>
  </w:style>
  <w:style w:type="paragraph" w:customStyle="1" w:styleId="80">
    <w:name w:val="正文3"/>
    <w:basedOn w:val="1"/>
    <w:autoRedefine/>
    <w:qFormat/>
    <w:uiPriority w:val="0"/>
    <w:pPr>
      <w:spacing w:before="60" w:after="60" w:line="360" w:lineRule="auto"/>
      <w:outlineLvl w:val="8"/>
    </w:pPr>
    <w:rPr>
      <w:sz w:val="24"/>
      <w:szCs w:val="21"/>
    </w:rPr>
  </w:style>
  <w:style w:type="paragraph" w:customStyle="1" w:styleId="81">
    <w:name w:val="p0"/>
    <w:basedOn w:val="1"/>
    <w:autoRedefine/>
    <w:qFormat/>
    <w:uiPriority w:val="0"/>
    <w:pPr>
      <w:widowControl/>
    </w:pPr>
    <w:rPr>
      <w:kern w:val="0"/>
      <w:szCs w:val="21"/>
    </w:rPr>
  </w:style>
  <w:style w:type="paragraph" w:customStyle="1" w:styleId="8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8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84">
    <w:name w:val="Char Char Char Char Char Char Char Char Char Char"/>
    <w:basedOn w:val="1"/>
    <w:autoRedefine/>
    <w:qFormat/>
    <w:uiPriority w:val="0"/>
    <w:rPr>
      <w:rFonts w:ascii="Tahoma" w:hAnsi="Tahoma"/>
      <w:sz w:val="24"/>
    </w:rPr>
  </w:style>
  <w:style w:type="paragraph" w:customStyle="1" w:styleId="85">
    <w:name w:val="表格"/>
    <w:basedOn w:val="1"/>
    <w:qFormat/>
    <w:uiPriority w:val="0"/>
    <w:pPr>
      <w:spacing w:line="400" w:lineRule="exact"/>
    </w:pPr>
    <w:rPr>
      <w:sz w:val="24"/>
      <w:szCs w:val="24"/>
    </w:rPr>
  </w:style>
  <w:style w:type="paragraph" w:customStyle="1" w:styleId="86">
    <w:name w:val="Char Char Char1"/>
    <w:basedOn w:val="1"/>
    <w:qFormat/>
    <w:uiPriority w:val="0"/>
    <w:rPr>
      <w:rFonts w:ascii="宋体" w:hAnsi="宋体"/>
      <w:b/>
      <w:sz w:val="28"/>
      <w:szCs w:val="28"/>
    </w:rPr>
  </w:style>
  <w:style w:type="paragraph" w:customStyle="1" w:styleId="87">
    <w:name w:val="样式 标题 3H3l3CTh33rd levelLevel 3 HeadHeading 3 - oldISO2..."/>
    <w:basedOn w:val="4"/>
    <w:autoRedefine/>
    <w:qFormat/>
    <w:uiPriority w:val="0"/>
    <w:pPr>
      <w:keepNext w:val="0"/>
      <w:keepLines w:val="0"/>
      <w:autoSpaceDE/>
      <w:autoSpaceDN/>
      <w:adjustRightInd/>
      <w:snapToGrid/>
      <w:spacing w:before="0" w:after="0"/>
      <w:ind w:left="737" w:hanging="539"/>
      <w:textAlignment w:val="auto"/>
    </w:pPr>
    <w:rPr>
      <w:sz w:val="24"/>
    </w:rPr>
  </w:style>
  <w:style w:type="paragraph" w:customStyle="1" w:styleId="88">
    <w:name w:val="列出段落1"/>
    <w:basedOn w:val="1"/>
    <w:autoRedefine/>
    <w:qFormat/>
    <w:uiPriority w:val="34"/>
    <w:pPr>
      <w:autoSpaceDE w:val="0"/>
      <w:autoSpaceDN w:val="0"/>
      <w:adjustRightInd w:val="0"/>
      <w:ind w:firstLine="420" w:firstLineChars="200"/>
    </w:pPr>
    <w:rPr>
      <w:kern w:val="0"/>
      <w:sz w:val="20"/>
    </w:rPr>
  </w:style>
  <w:style w:type="character" w:customStyle="1" w:styleId="89">
    <w:name w:val="批注框文本 字符"/>
    <w:basedOn w:val="38"/>
    <w:link w:val="22"/>
    <w:semiHidden/>
    <w:qFormat/>
    <w:uiPriority w:val="0"/>
    <w:rPr>
      <w:rFonts w:ascii="Times New Roman" w:hAnsi="Times New Roman" w:eastAsia="宋体" w:cs="Times New Roman"/>
      <w:sz w:val="18"/>
      <w:szCs w:val="18"/>
    </w:rPr>
  </w:style>
  <w:style w:type="paragraph" w:customStyle="1" w:styleId="90">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character" w:customStyle="1" w:styleId="91">
    <w:name w:val="批注文字 字符"/>
    <w:basedOn w:val="38"/>
    <w:link w:val="13"/>
    <w:semiHidden/>
    <w:qFormat/>
    <w:uiPriority w:val="99"/>
    <w:rPr>
      <w:rFonts w:ascii="Times New Roman" w:hAnsi="Times New Roman" w:eastAsia="宋体" w:cs="Times New Roman"/>
      <w:szCs w:val="20"/>
    </w:rPr>
  </w:style>
  <w:style w:type="paragraph" w:customStyle="1" w:styleId="92">
    <w:name w:val="Char"/>
    <w:basedOn w:val="1"/>
    <w:qFormat/>
    <w:uiPriority w:val="0"/>
    <w:pPr>
      <w:widowControl/>
      <w:spacing w:after="160" w:line="240" w:lineRule="exact"/>
      <w:jc w:val="left"/>
    </w:pPr>
    <w:rPr>
      <w:rFonts w:ascii="Verdana" w:hAnsi="Verdana"/>
      <w:kern w:val="0"/>
      <w:lang w:eastAsia="en-US"/>
    </w:rPr>
  </w:style>
  <w:style w:type="character" w:customStyle="1" w:styleId="93">
    <w:name w:val="页脚 字符"/>
    <w:basedOn w:val="38"/>
    <w:link w:val="23"/>
    <w:qFormat/>
    <w:uiPriority w:val="0"/>
    <w:rPr>
      <w:rFonts w:ascii="Times New Roman" w:hAnsi="Times New Roman" w:eastAsia="宋体" w:cs="Times New Roman"/>
      <w:sz w:val="18"/>
      <w:szCs w:val="20"/>
    </w:rPr>
  </w:style>
  <w:style w:type="paragraph" w:customStyle="1" w:styleId="94">
    <w:name w:val="xl29"/>
    <w:basedOn w:val="1"/>
    <w:qFormat/>
    <w:uiPriority w:val="0"/>
    <w:pPr>
      <w:widowControl/>
      <w:spacing w:before="100" w:after="100"/>
      <w:jc w:val="center"/>
    </w:pPr>
    <w:rPr>
      <w:rFonts w:ascii="宋体" w:hAnsi="宋体"/>
      <w:kern w:val="0"/>
      <w:sz w:val="28"/>
    </w:rPr>
  </w:style>
  <w:style w:type="character" w:customStyle="1" w:styleId="95">
    <w:name w:val="批注主题 字符"/>
    <w:basedOn w:val="91"/>
    <w:link w:val="35"/>
    <w:semiHidden/>
    <w:qFormat/>
    <w:uiPriority w:val="0"/>
    <w:rPr>
      <w:rFonts w:ascii="Times New Roman" w:hAnsi="Times New Roman" w:eastAsia="宋体" w:cs="Times New Roman"/>
      <w:b/>
      <w:bCs/>
      <w:szCs w:val="20"/>
    </w:rPr>
  </w:style>
  <w:style w:type="paragraph" w:customStyle="1" w:styleId="9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97">
    <w:name w:val="表"/>
    <w:basedOn w:val="1"/>
    <w:qFormat/>
    <w:uiPriority w:val="0"/>
    <w:pPr>
      <w:jc w:val="center"/>
    </w:pPr>
    <w:rPr>
      <w:rFonts w:ascii="宋体" w:hAnsi="宋体"/>
    </w:rPr>
  </w:style>
  <w:style w:type="character" w:customStyle="1" w:styleId="98">
    <w:name w:val="正文文本缩进 2 字符"/>
    <w:basedOn w:val="38"/>
    <w:link w:val="21"/>
    <w:qFormat/>
    <w:uiPriority w:val="0"/>
    <w:rPr>
      <w:rFonts w:ascii="仿宋_GB2312" w:hAnsi="Times New Roman" w:eastAsia="仿宋_GB2312" w:cs="Times New Roman"/>
      <w:color w:val="000000"/>
      <w:kern w:val="0"/>
      <w:sz w:val="28"/>
      <w:szCs w:val="20"/>
    </w:rPr>
  </w:style>
  <w:style w:type="paragraph" w:customStyle="1" w:styleId="99">
    <w:name w:val="正文1"/>
    <w:basedOn w:val="1"/>
    <w:qFormat/>
    <w:uiPriority w:val="0"/>
    <w:pPr>
      <w:spacing w:before="60" w:after="60" w:line="360" w:lineRule="auto"/>
      <w:outlineLvl w:val="6"/>
    </w:pPr>
    <w:rPr>
      <w:sz w:val="24"/>
      <w:szCs w:val="24"/>
    </w:rPr>
  </w:style>
  <w:style w:type="paragraph" w:customStyle="1" w:styleId="100">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character" w:customStyle="1" w:styleId="101">
    <w:name w:val="正文文本 3 字符"/>
    <w:basedOn w:val="38"/>
    <w:link w:val="14"/>
    <w:qFormat/>
    <w:uiPriority w:val="0"/>
    <w:rPr>
      <w:rFonts w:ascii="宋体" w:hAnsi="宋体" w:eastAsia="宋体" w:cs="Times New Roman"/>
      <w:b/>
      <w:bCs/>
      <w:szCs w:val="20"/>
    </w:rPr>
  </w:style>
  <w:style w:type="paragraph" w:customStyle="1" w:styleId="102">
    <w:name w:val="正文2"/>
    <w:basedOn w:val="1"/>
    <w:qFormat/>
    <w:uiPriority w:val="0"/>
    <w:pPr>
      <w:spacing w:before="60" w:after="60" w:line="360" w:lineRule="auto"/>
      <w:outlineLvl w:val="7"/>
    </w:pPr>
    <w:rPr>
      <w:sz w:val="24"/>
      <w:szCs w:val="24"/>
    </w:rPr>
  </w:style>
  <w:style w:type="character" w:customStyle="1" w:styleId="103">
    <w:name w:val="正文文本缩进 字符"/>
    <w:basedOn w:val="38"/>
    <w:link w:val="15"/>
    <w:qFormat/>
    <w:uiPriority w:val="0"/>
    <w:rPr>
      <w:rFonts w:ascii="宋体" w:hAnsi="Times New Roman" w:eastAsia="宋体" w:cs="Times New Roman"/>
      <w:sz w:val="24"/>
      <w:szCs w:val="20"/>
    </w:rPr>
  </w:style>
  <w:style w:type="paragraph" w:customStyle="1" w:styleId="1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5">
    <w:name w:val="章标题"/>
    <w:next w:val="1"/>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106">
    <w:name w:val="Char1"/>
    <w:basedOn w:val="1"/>
    <w:qFormat/>
    <w:uiPriority w:val="0"/>
    <w:pPr>
      <w:widowControl/>
      <w:spacing w:after="160" w:line="240" w:lineRule="exact"/>
      <w:jc w:val="left"/>
    </w:pPr>
    <w:rPr>
      <w:rFonts w:ascii="Verdana" w:hAnsi="Verdana"/>
      <w:kern w:val="0"/>
      <w:lang w:eastAsia="en-US"/>
    </w:rPr>
  </w:style>
  <w:style w:type="paragraph" w:customStyle="1" w:styleId="107">
    <w:name w:val="Char1 Char Char Char"/>
    <w:basedOn w:val="1"/>
    <w:qFormat/>
    <w:uiPriority w:val="0"/>
    <w:pPr>
      <w:ind w:left="420" w:hanging="420"/>
    </w:pPr>
    <w:rPr>
      <w:sz w:val="24"/>
      <w:szCs w:val="24"/>
    </w:rPr>
  </w:style>
  <w:style w:type="paragraph" w:customStyle="1" w:styleId="108">
    <w:name w:val="列出段落11"/>
    <w:basedOn w:val="1"/>
    <w:qFormat/>
    <w:uiPriority w:val="0"/>
    <w:pPr>
      <w:ind w:firstLine="420" w:firstLineChars="200"/>
    </w:pPr>
  </w:style>
  <w:style w:type="paragraph" w:customStyle="1" w:styleId="109">
    <w:name w:val="Char Char"/>
    <w:basedOn w:val="1"/>
    <w:qFormat/>
    <w:uiPriority w:val="0"/>
    <w:pPr>
      <w:widowControl/>
      <w:spacing w:after="160" w:line="240" w:lineRule="exact"/>
      <w:jc w:val="left"/>
    </w:pPr>
    <w:rPr>
      <w:rFonts w:ascii="Verdana" w:hAnsi="Verdana"/>
      <w:kern w:val="0"/>
      <w:lang w:eastAsia="en-US"/>
    </w:rPr>
  </w:style>
  <w:style w:type="paragraph" w:customStyle="1" w:styleId="110">
    <w:name w:val="Char Char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11">
    <w:name w:val="列出段落2"/>
    <w:basedOn w:val="1"/>
    <w:qFormat/>
    <w:uiPriority w:val="0"/>
    <w:pPr>
      <w:ind w:firstLine="420" w:firstLineChars="200"/>
    </w:pPr>
    <w:rPr>
      <w:rFonts w:ascii="Calibri" w:hAnsi="Calibri"/>
      <w:szCs w:val="22"/>
    </w:rPr>
  </w:style>
  <w:style w:type="paragraph" w:customStyle="1" w:styleId="112">
    <w:name w:val="公文正文"/>
    <w:basedOn w:val="1"/>
    <w:qFormat/>
    <w:uiPriority w:val="0"/>
    <w:pPr>
      <w:spacing w:line="560" w:lineRule="exact"/>
      <w:ind w:firstLine="200" w:firstLineChars="200"/>
    </w:pPr>
    <w:rPr>
      <w:rFonts w:ascii="Calibri" w:hAnsi="Calibri" w:eastAsia="仿宋_GB2312" w:cs="黑体"/>
      <w:sz w:val="32"/>
      <w:szCs w:val="32"/>
    </w:rPr>
  </w:style>
  <w:style w:type="paragraph" w:customStyle="1" w:styleId="113">
    <w:name w:val="Table Paragraph"/>
    <w:basedOn w:val="1"/>
    <w:qFormat/>
    <w:uiPriority w:val="0"/>
    <w:rPr>
      <w:rFonts w:ascii="宋体" w:hAnsi="宋体" w:cs="宋体"/>
    </w:rPr>
  </w:style>
  <w:style w:type="paragraph" w:styleId="114">
    <w:name w:val="List Paragraph"/>
    <w:basedOn w:val="1"/>
    <w:qFormat/>
    <w:uiPriority w:val="34"/>
    <w:pPr>
      <w:ind w:firstLine="420" w:firstLineChars="200"/>
    </w:pPr>
  </w:style>
  <w:style w:type="paragraph" w:customStyle="1" w:styleId="115">
    <w:name w:val="GP正文(首行缩进)"/>
    <w:basedOn w:val="1"/>
    <w:qFormat/>
    <w:uiPriority w:val="0"/>
    <w:pPr>
      <w:spacing w:line="360" w:lineRule="auto"/>
      <w:ind w:firstLine="480" w:firstLineChars="200"/>
      <w:jc w:val="left"/>
    </w:pPr>
    <w:rPr>
      <w:rFonts w:hAnsi="宋体" w:eastAsia="仿宋"/>
      <w:sz w:val="28"/>
      <w:szCs w:val="24"/>
    </w:rPr>
  </w:style>
  <w:style w:type="character" w:customStyle="1" w:styleId="116">
    <w:name w:val="font41"/>
    <w:basedOn w:val="38"/>
    <w:qFormat/>
    <w:uiPriority w:val="0"/>
    <w:rPr>
      <w:rFonts w:hint="eastAsia" w:ascii="宋体" w:hAnsi="宋体" w:eastAsia="宋体" w:cs="宋体"/>
      <w:color w:val="000000"/>
      <w:sz w:val="21"/>
      <w:szCs w:val="21"/>
      <w:u w:val="none"/>
    </w:rPr>
  </w:style>
  <w:style w:type="character" w:customStyle="1" w:styleId="117">
    <w:name w:val="font31"/>
    <w:basedOn w:val="38"/>
    <w:qFormat/>
    <w:uiPriority w:val="0"/>
    <w:rPr>
      <w:rFonts w:hint="eastAsia" w:ascii="宋体" w:hAnsi="宋体" w:eastAsia="宋体" w:cs="宋体"/>
      <w:color w:val="000000"/>
      <w:sz w:val="20"/>
      <w:szCs w:val="20"/>
      <w:u w:val="none"/>
    </w:rPr>
  </w:style>
  <w:style w:type="character" w:customStyle="1" w:styleId="118">
    <w:name w:val="font51"/>
    <w:basedOn w:val="38"/>
    <w:qFormat/>
    <w:uiPriority w:val="0"/>
    <w:rPr>
      <w:rFonts w:hint="eastAsia" w:ascii="宋体" w:hAnsi="宋体" w:eastAsia="宋体" w:cs="宋体"/>
      <w:b/>
      <w:color w:val="000000"/>
      <w:sz w:val="20"/>
      <w:szCs w:val="20"/>
      <w:u w:val="none"/>
    </w:rPr>
  </w:style>
  <w:style w:type="paragraph" w:customStyle="1" w:styleId="119">
    <w:name w:val="正文首行缩进（绿盟科技）"/>
    <w:basedOn w:val="1"/>
    <w:qFormat/>
    <w:uiPriority w:val="0"/>
    <w:pPr>
      <w:widowControl/>
      <w:spacing w:after="50" w:line="300" w:lineRule="auto"/>
      <w:ind w:firstLine="200" w:firstLineChars="200"/>
      <w:jc w:val="left"/>
    </w:pPr>
    <w:rPr>
      <w:rFonts w:ascii="Arial" w:hAnsi="Arial"/>
      <w:kern w:val="0"/>
      <w:szCs w:val="21"/>
    </w:rPr>
  </w:style>
  <w:style w:type="paragraph" w:customStyle="1" w:styleId="120">
    <w:name w:val="正文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122">
    <w:name w:val="正文-首行缩进"/>
    <w:basedOn w:val="1"/>
    <w:qFormat/>
    <w:uiPriority w:val="0"/>
    <w:pPr>
      <w:ind w:firstLine="480" w:firstLineChars="200"/>
    </w:pPr>
    <w:rPr>
      <w:rFonts w:ascii="Calibri" w:hAnsi="Calibri"/>
      <w:kern w:val="0"/>
      <w:szCs w:val="21"/>
    </w:rPr>
  </w:style>
  <w:style w:type="paragraph" w:customStyle="1" w:styleId="12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5">
    <w:name w:val="正文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6">
    <w:name w:val="正文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7">
    <w:name w:val="Normal_596d626f-b786-4f71-bf9d-5596015b11e7"/>
    <w:next w:val="3"/>
    <w:qFormat/>
    <w:uiPriority w:val="0"/>
    <w:rPr>
      <w:rFonts w:ascii="Times New Roman" w:hAnsi="Times New Roman" w:eastAsia="宋体" w:cs="Times New Roman"/>
      <w:sz w:val="21"/>
      <w:lang w:val="en-US" w:eastAsia="zh-CN" w:bidi="ar-SA"/>
    </w:rPr>
  </w:style>
  <w:style w:type="character" w:customStyle="1" w:styleId="128">
    <w:name w:val="weby11"/>
    <w:qFormat/>
    <w:uiPriority w:val="0"/>
    <w:rPr>
      <w:sz w:val="18"/>
      <w:szCs w:val="18"/>
    </w:rPr>
  </w:style>
  <w:style w:type="paragraph" w:customStyle="1" w:styleId="129">
    <w:name w:val="正文正"/>
    <w:basedOn w:val="120"/>
    <w:qFormat/>
    <w:uiPriority w:val="0"/>
    <w:pPr>
      <w:spacing w:line="560" w:lineRule="exact"/>
      <w:ind w:firstLine="561"/>
    </w:pPr>
    <w:rPr>
      <w:rFonts w:ascii="Times New Roman" w:hAnsi="Times New Roman"/>
      <w:kern w:val="2"/>
      <w:sz w:val="28"/>
    </w:rPr>
  </w:style>
  <w:style w:type="paragraph" w:customStyle="1" w:styleId="130">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22226</Words>
  <Characters>23139</Characters>
  <Lines>247</Lines>
  <Paragraphs>69</Paragraphs>
  <TotalTime>6</TotalTime>
  <ScaleCrop>false</ScaleCrop>
  <LinksUpToDate>false</LinksUpToDate>
  <CharactersWithSpaces>23926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2024-06-12T07:52:00Z</dcterms:created>
  <dc:creator>微软用户</dc:creator>
  <cp:lastModifiedBy>zzz</cp:lastModifiedBy>
  <cp:lastPrinted>2024-06-12T07:32:00Z</cp:lastPrinted>
  <dcterms:modified xsi:type="dcterms:W3CDTF">2025-04-09T02:13:36Z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C9F15BF452E94263BA12DE1FAD63C195_13</vt:lpwstr>
  </property>
  <property fmtid="{D5CDD505-2E9C-101B-9397-08002B2CF9AE}" pid="4" name="KSOTemplateDocerSaveRecord">
    <vt:lpwstr>eyJoZGlkIjoiMWMyNmNhNGE4MDMwYWIxNTZlNjZlM2QwYmVmNDlhMjMiLCJ1c2VySWQiOiI5ODM4OTA1MjgifQ==</vt:lpwstr>
  </property>
</Properties>
</file>